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DCA" w:rsidRPr="00C67276" w:rsidRDefault="00023DCA" w:rsidP="0017300B">
      <w:pPr>
        <w:shd w:val="clear" w:color="auto" w:fill="FFFFFF"/>
        <w:spacing w:after="0" w:line="240" w:lineRule="auto"/>
        <w:jc w:val="center"/>
        <w:outlineLvl w:val="2"/>
        <w:rPr>
          <w:rFonts w:ascii="Times New Roman" w:hAnsi="Times New Roman" w:cs="Times New Roman"/>
          <w:sz w:val="28"/>
          <w:szCs w:val="28"/>
          <w:lang w:val="uk-UA" w:eastAsia="ru-RU"/>
        </w:rPr>
      </w:pPr>
      <w:bookmarkStart w:id="0" w:name="_GoBack"/>
      <w:bookmarkEnd w:id="0"/>
      <w:r w:rsidRPr="00C67276">
        <w:rPr>
          <w:rFonts w:ascii="Times New Roman" w:hAnsi="Times New Roman" w:cs="Times New Roman"/>
          <w:b/>
          <w:bCs/>
          <w:sz w:val="28"/>
          <w:szCs w:val="28"/>
          <w:lang w:val="uk-UA" w:eastAsia="ru-RU"/>
        </w:rPr>
        <w:t>АНАЛІЗ РЕГУЛЯТОРНОГО ВПЛИВУ</w:t>
      </w:r>
      <w:r w:rsidRPr="00C67276">
        <w:rPr>
          <w:rFonts w:ascii="Times New Roman" w:hAnsi="Times New Roman" w:cs="Times New Roman"/>
          <w:sz w:val="28"/>
          <w:szCs w:val="28"/>
          <w:lang w:val="uk-UA" w:eastAsia="ru-RU"/>
        </w:rPr>
        <w:br/>
        <w:t xml:space="preserve">до проекту Положення про оренду майна, що належить до комунальної власності територіальної громади м.Чернівців </w:t>
      </w:r>
    </w:p>
    <w:p w:rsidR="00023DCA" w:rsidRPr="00C67276" w:rsidRDefault="00023DCA" w:rsidP="0017300B">
      <w:pPr>
        <w:shd w:val="clear" w:color="auto" w:fill="FFFFFF"/>
        <w:spacing w:after="0" w:line="240" w:lineRule="auto"/>
        <w:jc w:val="center"/>
        <w:outlineLvl w:val="2"/>
        <w:rPr>
          <w:rFonts w:ascii="Times New Roman" w:hAnsi="Times New Roman" w:cs="Times New Roman"/>
          <w:sz w:val="28"/>
          <w:szCs w:val="28"/>
          <w:lang w:val="uk-UA" w:eastAsia="ru-RU"/>
        </w:rPr>
      </w:pPr>
      <w:r w:rsidRPr="00C67276">
        <w:rPr>
          <w:rFonts w:ascii="Times New Roman" w:hAnsi="Times New Roman" w:cs="Times New Roman"/>
          <w:sz w:val="28"/>
          <w:szCs w:val="28"/>
          <w:lang w:val="uk-UA" w:eastAsia="ru-RU"/>
        </w:rPr>
        <w:t xml:space="preserve"> (нова редакція)</w:t>
      </w:r>
    </w:p>
    <w:p w:rsidR="00023DCA" w:rsidRPr="00C67276" w:rsidRDefault="00023DCA" w:rsidP="00B665AB">
      <w:pPr>
        <w:shd w:val="clear" w:color="auto" w:fill="FFFFFF"/>
        <w:spacing w:after="0" w:line="435" w:lineRule="atLeast"/>
        <w:jc w:val="center"/>
        <w:outlineLvl w:val="2"/>
        <w:rPr>
          <w:rFonts w:ascii="Times New Roman" w:hAnsi="Times New Roman" w:cs="Times New Roman"/>
          <w:b/>
          <w:bCs/>
          <w:sz w:val="24"/>
          <w:szCs w:val="24"/>
          <w:lang w:val="uk-UA" w:eastAsia="ru-RU"/>
        </w:rPr>
      </w:pPr>
      <w:r w:rsidRPr="00C67276">
        <w:rPr>
          <w:rFonts w:ascii="Times New Roman" w:hAnsi="Times New Roman" w:cs="Times New Roman"/>
          <w:b/>
          <w:bCs/>
          <w:sz w:val="24"/>
          <w:szCs w:val="24"/>
          <w:lang w:val="uk-UA" w:eastAsia="ru-RU"/>
        </w:rPr>
        <w:t>I. Визначення проблеми</w:t>
      </w:r>
    </w:p>
    <w:p w:rsidR="00023DCA" w:rsidRPr="00C67276" w:rsidRDefault="00023DCA" w:rsidP="00D91164">
      <w:pPr>
        <w:ind w:firstLine="851"/>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Одним з методів ефективного управління майном є оренда. Здача в оренду об'єктів комунальної власності - це одне із джерел наповнення державного та місцевого бюджету, до того ж суб'єктам господарювання - орендарям не потрібно нести надмірні витрати на це.</w:t>
      </w:r>
    </w:p>
    <w:p w:rsidR="00023DCA" w:rsidRPr="00C67276" w:rsidRDefault="00023DCA" w:rsidP="006C770A">
      <w:pPr>
        <w:shd w:val="clear" w:color="auto" w:fill="FFFFFF"/>
        <w:spacing w:after="0" w:line="360" w:lineRule="atLeast"/>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ab/>
        <w:t>Одним з головних факторів орендних відносин є орендна плата. «Орендні ставки за використання нерухомого майна» Методики розрахунку орендної плати за майно, що належить до комунальної власності територіальної громади м. Чернівців, не відповідають Методиці розрахунку орендної плати за державне майно та пропозиції її розподілу, затвердженій постановою Кабінету Міністрів України від 04.10.1995 №786 зі змінами та доповненнями. Також, передбачається врегулювати організаційні відносини, пов’язані з передачею в оренду майна, що є власністю територіальної громади міста Чернівців. Наразі постала потреба створення принципово нової редакції Положення, яка базуватиметься на таких принципах: досвіду, конкурентності, відповідальності, відкритості, оперативності та інтеграції у веб-середовище. Зазначені вище принципи реалізуються у законопроекті через врахування попереднього напрацьованого практичного досвіду,</w:t>
      </w:r>
      <w:r w:rsidRPr="00C67276">
        <w:rPr>
          <w:rFonts w:ascii="Times New Roman" w:hAnsi="Times New Roman" w:cs="Times New Roman"/>
          <w:sz w:val="24"/>
          <w:szCs w:val="24"/>
          <w:lang w:val="uk-UA" w:eastAsia="ru-RU"/>
        </w:rPr>
        <w:t xml:space="preserve"> </w:t>
      </w:r>
      <w:r w:rsidRPr="00C67276">
        <w:rPr>
          <w:rFonts w:ascii="Times New Roman" w:hAnsi="Times New Roman" w:cs="Times New Roman"/>
          <w:sz w:val="24"/>
          <w:szCs w:val="24"/>
          <w:lang w:val="uk-UA"/>
        </w:rPr>
        <w:t>встановлення нових критеріїв для забезпечення збереження комунального майна, обмеження щодо осіб, які не можуть бути орендарями, тощо.</w:t>
      </w:r>
    </w:p>
    <w:p w:rsidR="00023DCA" w:rsidRPr="00C67276" w:rsidRDefault="00023DCA" w:rsidP="00D91164">
      <w:pPr>
        <w:shd w:val="clear" w:color="auto" w:fill="FFFFFF"/>
        <w:spacing w:after="0" w:line="360" w:lineRule="atLeast"/>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ab/>
        <w:t>Цей документ, підготовлений у відповідності до ст.8 Закону України «Про засади державної регуляторної політики в сфері господарської діяльності» та Методики проведення аналізу впливу регуляторного акта, затвердженої постановою Кабінету Міністрів України від 11 березня 2004 №308 зі змінами внесеними постановою КМУ № 1151 від 16.12.2015 року  містить обґрунтування необхідності державного регулювання шляхом прийняття даного регуляторного акту Положення про оренду майна, що належить до комунальної власності територіальної громади м.Чернівців</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Основні групи (підгрупи), на які проблема справляє вплив:</w:t>
      </w: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4461"/>
        <w:gridCol w:w="2875"/>
        <w:gridCol w:w="2577"/>
      </w:tblGrid>
      <w:tr w:rsidR="00023DCA" w:rsidRPr="00C67276">
        <w:tc>
          <w:tcPr>
            <w:tcW w:w="2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Групи (підгрупи)</w:t>
            </w:r>
          </w:p>
        </w:tc>
        <w:tc>
          <w:tcPr>
            <w:tcW w:w="14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Так</w:t>
            </w:r>
          </w:p>
        </w:tc>
        <w:tc>
          <w:tcPr>
            <w:tcW w:w="13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Ні</w:t>
            </w:r>
          </w:p>
        </w:tc>
      </w:tr>
      <w:tr w:rsidR="00023DCA" w:rsidRPr="00C67276">
        <w:tc>
          <w:tcPr>
            <w:tcW w:w="2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rPr>
            </w:pPr>
            <w:r w:rsidRPr="00C67276">
              <w:rPr>
                <w:rFonts w:ascii="Times New Roman" w:hAnsi="Times New Roman" w:cs="Times New Roman"/>
                <w:sz w:val="24"/>
                <w:szCs w:val="24"/>
                <w:lang w:val="uk-UA"/>
              </w:rPr>
              <w:t>Громадяни</w:t>
            </w:r>
          </w:p>
        </w:tc>
        <w:tc>
          <w:tcPr>
            <w:tcW w:w="14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w:t>
            </w:r>
          </w:p>
        </w:tc>
        <w:tc>
          <w:tcPr>
            <w:tcW w:w="13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 </w:t>
            </w:r>
          </w:p>
        </w:tc>
      </w:tr>
      <w:tr w:rsidR="00023DCA" w:rsidRPr="00C67276">
        <w:tc>
          <w:tcPr>
            <w:tcW w:w="2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rPr>
            </w:pPr>
            <w:r w:rsidRPr="00C67276">
              <w:rPr>
                <w:rFonts w:ascii="Times New Roman" w:hAnsi="Times New Roman" w:cs="Times New Roman"/>
                <w:sz w:val="24"/>
                <w:szCs w:val="24"/>
                <w:lang w:val="uk-UA"/>
              </w:rPr>
              <w:t>Держава</w:t>
            </w:r>
          </w:p>
        </w:tc>
        <w:tc>
          <w:tcPr>
            <w:tcW w:w="14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w:t>
            </w:r>
          </w:p>
        </w:tc>
        <w:tc>
          <w:tcPr>
            <w:tcW w:w="13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 </w:t>
            </w:r>
          </w:p>
        </w:tc>
      </w:tr>
      <w:tr w:rsidR="00023DCA" w:rsidRPr="00C67276">
        <w:tc>
          <w:tcPr>
            <w:tcW w:w="2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rPr>
            </w:pPr>
            <w:r w:rsidRPr="00C67276">
              <w:rPr>
                <w:rFonts w:ascii="Times New Roman" w:hAnsi="Times New Roman" w:cs="Times New Roman"/>
                <w:sz w:val="24"/>
                <w:szCs w:val="24"/>
                <w:lang w:val="uk-UA"/>
              </w:rPr>
              <w:t>Суб'єкти господарювання,</w:t>
            </w:r>
          </w:p>
        </w:tc>
        <w:tc>
          <w:tcPr>
            <w:tcW w:w="14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w:t>
            </w:r>
          </w:p>
        </w:tc>
        <w:tc>
          <w:tcPr>
            <w:tcW w:w="13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 </w:t>
            </w:r>
          </w:p>
        </w:tc>
      </w:tr>
      <w:tr w:rsidR="00023DCA" w:rsidRPr="00C67276">
        <w:tc>
          <w:tcPr>
            <w:tcW w:w="2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rPr>
            </w:pPr>
            <w:r w:rsidRPr="00C67276">
              <w:rPr>
                <w:rFonts w:ascii="Times New Roman" w:hAnsi="Times New Roman" w:cs="Times New Roman"/>
                <w:sz w:val="24"/>
                <w:szCs w:val="24"/>
                <w:lang w:val="uk-UA"/>
              </w:rPr>
              <w:t>у тому числі суб'єкти малого підприємництва</w:t>
            </w:r>
          </w:p>
        </w:tc>
        <w:tc>
          <w:tcPr>
            <w:tcW w:w="14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w:t>
            </w:r>
          </w:p>
        </w:tc>
        <w:tc>
          <w:tcPr>
            <w:tcW w:w="13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rPr>
            </w:pPr>
            <w:r w:rsidRPr="00C67276">
              <w:rPr>
                <w:rFonts w:ascii="Times New Roman" w:hAnsi="Times New Roman" w:cs="Times New Roman"/>
                <w:sz w:val="24"/>
                <w:szCs w:val="24"/>
                <w:lang w:val="uk-UA"/>
              </w:rPr>
              <w:t> </w:t>
            </w:r>
          </w:p>
        </w:tc>
      </w:tr>
    </w:tbl>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II. Цілі державного регулювання</w:t>
      </w:r>
    </w:p>
    <w:p w:rsidR="00023DCA" w:rsidRPr="00C67276" w:rsidRDefault="00023DCA" w:rsidP="004058DD">
      <w:pPr>
        <w:shd w:val="clear" w:color="auto" w:fill="FFFFFF"/>
        <w:spacing w:after="0" w:line="408" w:lineRule="atLeast"/>
        <w:ind w:firstLine="851"/>
        <w:jc w:val="both"/>
        <w:rPr>
          <w:rFonts w:ascii="Times New Roman" w:hAnsi="Times New Roman" w:cs="Times New Roman"/>
          <w:lang w:val="uk-UA" w:eastAsia="ru-RU"/>
        </w:rPr>
      </w:pPr>
      <w:r w:rsidRPr="00C67276">
        <w:rPr>
          <w:rFonts w:ascii="Times New Roman" w:hAnsi="Times New Roman" w:cs="Times New Roman"/>
          <w:lang w:val="uk-UA" w:eastAsia="ru-RU"/>
        </w:rPr>
        <w:t>Метою прийняття зазначеного проекту рішення є установлення економічно виправданих і обґрунтованих розмірів орендної плати відповідно норм чинного законодавства у сфері оренди, зміни в переліку документів, необхідних для укладання договору оренди, доповнення щодо випадків для відмови в пролонгації договору оренди, поінформованість населення щодо комунального майна, яке може бути надано в оренду.</w:t>
      </w:r>
    </w:p>
    <w:p w:rsidR="00023DCA" w:rsidRPr="00C67276" w:rsidRDefault="00023DCA" w:rsidP="00856D77">
      <w:pPr>
        <w:shd w:val="clear" w:color="auto" w:fill="FFFFFF"/>
        <w:spacing w:after="150" w:line="240" w:lineRule="auto"/>
        <w:jc w:val="both"/>
        <w:rPr>
          <w:rFonts w:ascii="Times New Roman" w:hAnsi="Times New Roman" w:cs="Times New Roman"/>
          <w:lang w:val="uk-UA"/>
        </w:rPr>
      </w:pP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Цілями, на досягнення яких спрямований проект даного рішення, є:</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 забезпечення підвищення ефективності використання комунального майна шляхом передачі його в оренду фізичним і юридичним особам;</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 правове забезпечення процесу управління і внесення плати за використання майна, що перебуває в міській комунальній власності;</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 збільшення доходів місцевого бюджету;</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 удосконалення єдиного організаційного та економічного механізму розрахунку орендної плати за комунальне майно;</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 забезпечення прозорості і доступності Методики розрахунку орендної плати.</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rPr>
      </w:pPr>
      <w:r w:rsidRPr="00C67276">
        <w:rPr>
          <w:rFonts w:ascii="Times New Roman" w:hAnsi="Times New Roman" w:cs="Times New Roman"/>
          <w:sz w:val="24"/>
          <w:szCs w:val="24"/>
          <w:lang w:val="uk-UA"/>
        </w:rPr>
        <w:t>- Також  потребує затвердження типовий договір оренди нежитлових приміщень та типова заява про надання приміщення в оренду.</w:t>
      </w:r>
    </w:p>
    <w:p w:rsidR="00023DCA" w:rsidRPr="00C67276" w:rsidRDefault="00023DCA" w:rsidP="00856D77">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1"/>
          <w:szCs w:val="21"/>
          <w:lang w:val="uk-UA" w:eastAsia="ru-RU"/>
        </w:rPr>
        <w:t> </w:t>
      </w:r>
      <w:r>
        <w:rPr>
          <w:rFonts w:ascii="Times New Roman" w:hAnsi="Times New Roman" w:cs="Times New Roman"/>
          <w:sz w:val="21"/>
          <w:szCs w:val="21"/>
          <w:lang w:val="uk-UA" w:eastAsia="ru-RU"/>
        </w:rPr>
        <w:tab/>
      </w:r>
      <w:r w:rsidRPr="00C67276">
        <w:rPr>
          <w:rFonts w:ascii="Times New Roman" w:hAnsi="Times New Roman" w:cs="Times New Roman"/>
          <w:sz w:val="24"/>
          <w:szCs w:val="24"/>
          <w:lang w:val="uk-UA"/>
        </w:rPr>
        <w:t xml:space="preserve">Регуляторний акт приймається з метою підвищення ефективності використання комунального майна,  </w:t>
      </w:r>
      <w:r w:rsidRPr="00C67276">
        <w:rPr>
          <w:rFonts w:ascii="Times New Roman" w:hAnsi="Times New Roman" w:cs="Times New Roman"/>
          <w:lang w:val="uk-UA"/>
        </w:rPr>
        <w:t>відкритості і прозорості передачі в оренду комунального майна</w:t>
      </w:r>
      <w:r w:rsidRPr="00C67276">
        <w:rPr>
          <w:rFonts w:ascii="Times New Roman" w:hAnsi="Times New Roman" w:cs="Times New Roman"/>
          <w:sz w:val="24"/>
          <w:szCs w:val="24"/>
          <w:lang w:val="uk-UA"/>
        </w:rPr>
        <w:t xml:space="preserve">, </w:t>
      </w:r>
      <w:r w:rsidRPr="00C67276">
        <w:rPr>
          <w:rFonts w:ascii="Times New Roman" w:hAnsi="Times New Roman" w:cs="Times New Roman"/>
          <w:lang w:val="uk-UA"/>
        </w:rPr>
        <w:t xml:space="preserve">Впровадження прозорого механізму надання в оренду комунального майна міста, а також внесення змін до переліку необхідних документів для укладання договору оренди нерухомого майна і цілісних майнових комплексів сприятиме підвищенню контролю за використанням вказаного майна та ефективному розвитку орендних відносин. Крім того, потребує змін відбір суб’єктів оціночної діяльності. </w:t>
      </w:r>
      <w:r w:rsidRPr="00C67276">
        <w:rPr>
          <w:rFonts w:ascii="Times New Roman" w:hAnsi="Times New Roman" w:cs="Times New Roman"/>
          <w:sz w:val="24"/>
          <w:szCs w:val="24"/>
          <w:lang w:val="uk-UA" w:eastAsia="ru-RU"/>
        </w:rPr>
        <w:t xml:space="preserve">Проектом, зокрема, передбачаються зміни розміру орендної ставки за використання нерухомого майна комунальної власності територіальної громади </w:t>
      </w:r>
      <w:r w:rsidRPr="00C67276">
        <w:rPr>
          <w:rFonts w:ascii="Times New Roman" w:hAnsi="Times New Roman" w:cs="Times New Roman"/>
          <w:lang w:val="uk-UA"/>
        </w:rPr>
        <w:t>міста Чернівці. Такі дії сприятимуть забезпеченню прозорості і доступності Методики розрахунку орендної плати, впорядкуванню орендних відносин з окремими категоріями орендарів (громадськими</w:t>
      </w:r>
      <w:r w:rsidRPr="00C67276">
        <w:rPr>
          <w:rFonts w:ascii="Times New Roman" w:hAnsi="Times New Roman" w:cs="Times New Roman"/>
          <w:sz w:val="24"/>
          <w:szCs w:val="24"/>
          <w:lang w:val="uk-UA" w:eastAsia="ru-RU"/>
        </w:rPr>
        <w:t xml:space="preserve"> організаціями), зменшенню фінансового навантаження на окремі категорії орендарів, зокрема професійних творчих працівників, національні творчі спілки та членів цих спілок. </w:t>
      </w:r>
    </w:p>
    <w:p w:rsidR="00023DCA" w:rsidRPr="00C67276" w:rsidRDefault="00023DCA" w:rsidP="00B842E9">
      <w:pPr>
        <w:shd w:val="clear" w:color="auto" w:fill="FFFFFF"/>
        <w:spacing w:before="240" w:after="24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ab/>
      </w:r>
      <w:r w:rsidRPr="00C67276">
        <w:rPr>
          <w:rFonts w:ascii="Times New Roman" w:hAnsi="Times New Roman" w:cs="Times New Roman"/>
          <w:sz w:val="24"/>
          <w:szCs w:val="24"/>
          <w:lang w:val="uk-UA"/>
        </w:rPr>
        <w:t>Регуляторний акт приймається відповідно Закону України «Про засади державної регуляторної політики у сфері господарської діяльності», на виконання ст.ст.7,13 Закону України «Про засади державної регуляторної політики у сфері господарської діяльності»</w:t>
      </w: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III. Визначення та оцінка альтернативних способів досягнення цілей</w:t>
      </w: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4163"/>
        <w:gridCol w:w="5750"/>
      </w:tblGrid>
      <w:tr w:rsidR="00023DCA" w:rsidRPr="00C67276">
        <w:tc>
          <w:tcPr>
            <w:tcW w:w="21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Вид альтернативи</w:t>
            </w:r>
          </w:p>
        </w:tc>
        <w:tc>
          <w:tcPr>
            <w:tcW w:w="29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Опис альтернативи</w:t>
            </w:r>
          </w:p>
        </w:tc>
      </w:tr>
      <w:tr w:rsidR="00023DCA" w:rsidRPr="00C67276">
        <w:tc>
          <w:tcPr>
            <w:tcW w:w="21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B842E9">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1 - Залишити без змін діючу редакцію </w:t>
            </w:r>
            <w:r w:rsidRPr="00C67276">
              <w:rPr>
                <w:rFonts w:ascii="Times New Roman" w:hAnsi="Times New Roman" w:cs="Times New Roman"/>
                <w:lang w:val="uk-UA"/>
              </w:rPr>
              <w:t>Положення про оренду майна, що належить до комунальної власності  територіальної громади м.Чернівців</w:t>
            </w:r>
          </w:p>
        </w:tc>
        <w:tc>
          <w:tcPr>
            <w:tcW w:w="29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BD0137">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дозволить досягнути цілей державного регулювання оскільки Положення  потребують змін з метою досягнення визначених цілей державного регулювання.</w:t>
            </w:r>
          </w:p>
          <w:p w:rsidR="00023DCA" w:rsidRPr="00C67276" w:rsidRDefault="00023DCA" w:rsidP="00BD0137">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Орендні ставки даної Методики не відповідають прийнятим на сьогоднішній день державним нормативно-правовим актам. Методика має певні складнощі при використанні його в роботі з орендарями</w:t>
            </w:r>
          </w:p>
        </w:tc>
      </w:tr>
      <w:tr w:rsidR="00023DCA" w:rsidRPr="00527645">
        <w:tc>
          <w:tcPr>
            <w:tcW w:w="21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B842E9">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2 - Внесення змін до чинної редакції </w:t>
            </w:r>
            <w:hyperlink r:id="rId7" w:tgtFrame="_top" w:history="1">
              <w:r w:rsidRPr="00C67276">
                <w:rPr>
                  <w:rFonts w:ascii="Times New Roman" w:hAnsi="Times New Roman" w:cs="Times New Roman"/>
                  <w:sz w:val="24"/>
                  <w:szCs w:val="24"/>
                  <w:lang w:val="uk-UA" w:eastAsia="ru-RU"/>
                </w:rPr>
                <w:t>Положення</w:t>
              </w:r>
            </w:hyperlink>
            <w:r w:rsidRPr="00C67276">
              <w:rPr>
                <w:rFonts w:ascii="Times New Roman" w:hAnsi="Times New Roman" w:cs="Times New Roman"/>
                <w:sz w:val="24"/>
                <w:szCs w:val="24"/>
                <w:lang w:val="uk-UA" w:eastAsia="ru-RU"/>
              </w:rPr>
              <w:t>.</w:t>
            </w:r>
          </w:p>
        </w:tc>
        <w:tc>
          <w:tcPr>
            <w:tcW w:w="29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B842E9">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Такий спосіб є також недоцільний з огляду на мету розробки проекту Положення та правил нормопроектувальної техніки, оскільки змін зазнають більше ніж 50 відсотків діючої редакції Положення та об’єднується з Методикою розрахунку орендної плати </w:t>
            </w:r>
            <w:r w:rsidRPr="00C67276">
              <w:rPr>
                <w:rFonts w:ascii="Times New Roman" w:hAnsi="Times New Roman" w:cs="Times New Roman"/>
                <w:sz w:val="24"/>
                <w:szCs w:val="24"/>
                <w:lang w:val="uk-UA" w:eastAsia="ru-RU"/>
              </w:rPr>
              <w:lastRenderedPageBreak/>
              <w:t>за майно, що належить до комунальної власності територіальної громади м. Чернівців.</w:t>
            </w:r>
          </w:p>
        </w:tc>
      </w:tr>
      <w:tr w:rsidR="00023DCA" w:rsidRPr="00C67276">
        <w:tc>
          <w:tcPr>
            <w:tcW w:w="21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 xml:space="preserve">Альтернатива 3 - Розробка нової редакції </w:t>
            </w:r>
            <w:r w:rsidRPr="00C67276">
              <w:rPr>
                <w:rFonts w:ascii="Times New Roman" w:hAnsi="Times New Roman" w:cs="Times New Roman"/>
                <w:lang w:val="uk-UA"/>
              </w:rPr>
              <w:t>Положення про оренду майна, що належить до комунальної власності  територіальної громади м.Чернівців.</w:t>
            </w:r>
          </w:p>
        </w:tc>
        <w:tc>
          <w:tcPr>
            <w:tcW w:w="29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B842E9">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Такий спосіб є найбільш ефективним з огляду на правила нормопроектувальної техніки та забезпечить досягненню цілей державного регулювання у сфері оренди комунального майна.</w:t>
            </w:r>
          </w:p>
        </w:tc>
      </w:tr>
    </w:tbl>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Надалі Альтернатива 2 не розглядатиметься, оскільки вона є недоцільною з точки зору нормопроектувальної техніки, яка у свою чергу не має жодного впливу на реалізацію цілей, визначених проектом Положення, по суті.</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Оцінка впливу на сферу інтересів держави</w:t>
      </w: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2287"/>
        <w:gridCol w:w="3978"/>
        <w:gridCol w:w="3680"/>
      </w:tblGrid>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Вид альтернативи</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Вигоди</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Витрати</w:t>
            </w:r>
          </w:p>
        </w:tc>
      </w:tr>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1</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5766A2">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Порядок передачі майна чітко регламентований і забезпечує виконання планового завдання з надходжень місцевого бюджету від оренди.</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5766A2">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 урахуванням чинної редакції </w:t>
            </w:r>
            <w:hyperlink r:id="rId8" w:tgtFrame="_top" w:history="1">
              <w:r w:rsidRPr="00C67276">
                <w:rPr>
                  <w:rFonts w:ascii="Times New Roman" w:hAnsi="Times New Roman" w:cs="Times New Roman"/>
                  <w:sz w:val="24"/>
                  <w:szCs w:val="24"/>
                  <w:lang w:val="uk-UA" w:eastAsia="ru-RU"/>
                </w:rPr>
                <w:t>Положення</w:t>
              </w:r>
            </w:hyperlink>
            <w:r w:rsidRPr="00C67276">
              <w:rPr>
                <w:rFonts w:ascii="Times New Roman" w:hAnsi="Times New Roman" w:cs="Times New Roman"/>
                <w:sz w:val="24"/>
                <w:szCs w:val="24"/>
                <w:lang w:val="uk-UA" w:eastAsia="ru-RU"/>
              </w:rPr>
              <w:t xml:space="preserve"> процедура передачі майна залишається не приведеною у відповідність до сучасних вимог ринку та змін законодавчої бази протягом останніх трьох років. Крім того, сама процедура передачі в оренду залишається тривалою в часі та не конкурентною у порівнянні з приватним сектором.</w:t>
            </w:r>
          </w:p>
        </w:tc>
      </w:tr>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2</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3</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Збільшення внаслідок спрощення процедури передачі майна в оренду кількості договорів оренди та надходжень бюджетів всіх рівнів, можливість виконання державною своїх соціальних зобов'язань.</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bl>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Оцінка впливу на сферу інтересів громадян</w:t>
      </w: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2287"/>
        <w:gridCol w:w="3978"/>
        <w:gridCol w:w="3680"/>
      </w:tblGrid>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Вид альтернативи</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Вигоди</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Витрати</w:t>
            </w:r>
          </w:p>
        </w:tc>
      </w:tr>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1</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4058DD">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Чинна редакція </w:t>
            </w:r>
            <w:hyperlink r:id="rId9" w:tgtFrame="_top" w:history="1">
              <w:r w:rsidRPr="00C67276">
                <w:rPr>
                  <w:rFonts w:ascii="Times New Roman" w:hAnsi="Times New Roman" w:cs="Times New Roman"/>
                  <w:sz w:val="24"/>
                  <w:szCs w:val="24"/>
                  <w:lang w:val="uk-UA" w:eastAsia="ru-RU"/>
                </w:rPr>
                <w:t>Положення про оренду</w:t>
              </w:r>
            </w:hyperlink>
            <w:r w:rsidRPr="00C67276">
              <w:rPr>
                <w:rFonts w:ascii="Times New Roman" w:hAnsi="Times New Roman" w:cs="Times New Roman"/>
                <w:sz w:val="24"/>
                <w:szCs w:val="24"/>
                <w:lang w:val="uk-UA" w:eastAsia="ru-RU"/>
              </w:rPr>
              <w:t> забезпечує виконання планового завдання з надходжень місцевого бюджету від оренди, що дозволяє здійснювати соціальні виплати з бюджету.</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2</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c>
          <w:tcPr>
            <w:tcW w:w="11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Альтернатива 3</w:t>
            </w:r>
          </w:p>
        </w:tc>
        <w:tc>
          <w:tcPr>
            <w:tcW w:w="20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3E0BA3">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 Можливість підвищення соціальних стандартів для тих категорій громадян, які отримують її з відповідних бюджетів.</w:t>
            </w:r>
            <w:r w:rsidRPr="00C67276">
              <w:rPr>
                <w:rFonts w:ascii="Times New Roman" w:hAnsi="Times New Roman" w:cs="Times New Roman"/>
                <w:sz w:val="24"/>
                <w:szCs w:val="24"/>
                <w:lang w:val="uk-UA" w:eastAsia="ru-RU"/>
              </w:rPr>
              <w:br/>
              <w:t>2. Збереження або створення нових робочих місць на підприємствах, які є орендарями комунального майна.</w:t>
            </w:r>
            <w:r w:rsidRPr="00C67276">
              <w:rPr>
                <w:rFonts w:ascii="Times New Roman" w:hAnsi="Times New Roman" w:cs="Times New Roman"/>
                <w:sz w:val="24"/>
                <w:szCs w:val="24"/>
                <w:lang w:val="uk-UA" w:eastAsia="ru-RU"/>
              </w:rPr>
              <w:br/>
              <w:t>3. Забезпечення прозорої та швидкої процедури передачі майна в оренду громадянам - не суб'єктам господарювання.</w:t>
            </w:r>
          </w:p>
        </w:tc>
        <w:tc>
          <w:tcPr>
            <w:tcW w:w="18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bl>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Оцінка впливу на сферу інтересів суб'єктів господарювання</w:t>
      </w: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2486"/>
        <w:gridCol w:w="895"/>
        <w:gridCol w:w="597"/>
        <w:gridCol w:w="1591"/>
        <w:gridCol w:w="1492"/>
        <w:gridCol w:w="1492"/>
        <w:gridCol w:w="1392"/>
      </w:tblGrid>
      <w:tr w:rsidR="00023DCA" w:rsidRPr="00C67276">
        <w:tc>
          <w:tcPr>
            <w:tcW w:w="1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Показник</w:t>
            </w:r>
          </w:p>
        </w:tc>
        <w:tc>
          <w:tcPr>
            <w:tcW w:w="7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Великі</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Середні</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Малі</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Мікро</w:t>
            </w:r>
          </w:p>
        </w:tc>
        <w:tc>
          <w:tcPr>
            <w:tcW w:w="7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Разом</w:t>
            </w:r>
          </w:p>
        </w:tc>
      </w:tr>
      <w:tr w:rsidR="00023DCA" w:rsidRPr="00C67276">
        <w:tc>
          <w:tcPr>
            <w:tcW w:w="1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Кількість суб'єктів господарювання, що підпадають під дію регулювання, одиниць (орієнтовно)</w:t>
            </w:r>
          </w:p>
        </w:tc>
        <w:tc>
          <w:tcPr>
            <w:tcW w:w="7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5</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10</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35</w:t>
            </w:r>
          </w:p>
          <w:p w:rsidR="00023DCA" w:rsidRPr="00C67276" w:rsidRDefault="00023DCA" w:rsidP="00D91164">
            <w:pPr>
              <w:spacing w:after="0" w:line="360" w:lineRule="atLeast"/>
              <w:jc w:val="center"/>
              <w:rPr>
                <w:rFonts w:ascii="Times New Roman" w:hAnsi="Times New Roman" w:cs="Times New Roman"/>
                <w:sz w:val="24"/>
                <w:szCs w:val="24"/>
                <w:lang w:val="uk-UA" w:eastAsia="ru-RU"/>
              </w:rPr>
            </w:pP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690</w:t>
            </w:r>
          </w:p>
        </w:tc>
        <w:tc>
          <w:tcPr>
            <w:tcW w:w="7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740</w:t>
            </w:r>
          </w:p>
        </w:tc>
      </w:tr>
      <w:tr w:rsidR="00023DCA" w:rsidRPr="00C67276">
        <w:tc>
          <w:tcPr>
            <w:tcW w:w="12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Питома вага групи у загальній кількості, відсотків</w:t>
            </w:r>
          </w:p>
        </w:tc>
        <w:tc>
          <w:tcPr>
            <w:tcW w:w="7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0,7</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1,4</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4,7</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93,2</w:t>
            </w:r>
          </w:p>
        </w:tc>
        <w:tc>
          <w:tcPr>
            <w:tcW w:w="7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100</w:t>
            </w:r>
          </w:p>
        </w:tc>
      </w:tr>
      <w:tr w:rsidR="00023DCA" w:rsidRPr="00C67276">
        <w:tc>
          <w:tcPr>
            <w:tcW w:w="170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Вид альтернативи</w:t>
            </w:r>
          </w:p>
        </w:tc>
        <w:tc>
          <w:tcPr>
            <w:tcW w:w="16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Вигоди</w:t>
            </w:r>
          </w:p>
        </w:tc>
        <w:tc>
          <w:tcPr>
            <w:tcW w:w="165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w:t>
            </w:r>
          </w:p>
        </w:tc>
      </w:tr>
      <w:tr w:rsidR="00023DCA" w:rsidRPr="00C67276">
        <w:tc>
          <w:tcPr>
            <w:tcW w:w="170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1</w:t>
            </w:r>
          </w:p>
        </w:tc>
        <w:tc>
          <w:tcPr>
            <w:tcW w:w="16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c>
          <w:tcPr>
            <w:tcW w:w="165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Витрата значного часу на укладення договору оренди майна (до 140 днів).</w:t>
            </w:r>
          </w:p>
        </w:tc>
      </w:tr>
      <w:tr w:rsidR="00023DCA" w:rsidRPr="00C67276">
        <w:tc>
          <w:tcPr>
            <w:tcW w:w="170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2</w:t>
            </w:r>
          </w:p>
        </w:tc>
        <w:tc>
          <w:tcPr>
            <w:tcW w:w="16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c>
          <w:tcPr>
            <w:tcW w:w="165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c>
          <w:tcPr>
            <w:tcW w:w="170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3</w:t>
            </w:r>
          </w:p>
        </w:tc>
        <w:tc>
          <w:tcPr>
            <w:tcW w:w="16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Забезпечення прозорої та швидкої процедури передачі майна в оренду суб'єктам господарювання, можливість планування та розвитку власного бізнесу.</w:t>
            </w:r>
          </w:p>
        </w:tc>
        <w:tc>
          <w:tcPr>
            <w:tcW w:w="1650" w:type="pct"/>
            <w:gridSpan w:val="2"/>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bl>
    <w:p w:rsidR="00023DCA" w:rsidRPr="00C67276" w:rsidRDefault="00023DCA" w:rsidP="00B665AB">
      <w:pPr>
        <w:shd w:val="clear" w:color="auto" w:fill="FFFFFF"/>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ВИТРАТИ</w:t>
      </w:r>
      <w:r w:rsidRPr="00C67276">
        <w:rPr>
          <w:rFonts w:ascii="Times New Roman" w:hAnsi="Times New Roman" w:cs="Times New Roman"/>
          <w:b/>
          <w:bCs/>
          <w:sz w:val="24"/>
          <w:szCs w:val="24"/>
          <w:lang w:val="uk-UA" w:eastAsia="ru-RU"/>
        </w:rPr>
        <w:br/>
        <w:t>на одного суб'єкта господарювання великого і середнього підприємництва, які виникають внаслідок дії регуляторного акта</w:t>
      </w: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1268"/>
        <w:gridCol w:w="4760"/>
        <w:gridCol w:w="2667"/>
        <w:gridCol w:w="1250"/>
      </w:tblGrid>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Порядковий номер</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За перший рік</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За п'ять років</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 на придбання основних фондів, обладнання та приладів, сервісне обслуговування, навчання / підвищення кваліфікації персоналу тощо,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2</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Податки та збори (зміна розміру </w:t>
            </w:r>
            <w:r w:rsidRPr="00C67276">
              <w:rPr>
                <w:rFonts w:ascii="Times New Roman" w:hAnsi="Times New Roman" w:cs="Times New Roman"/>
                <w:sz w:val="24"/>
                <w:szCs w:val="24"/>
                <w:lang w:val="uk-UA" w:eastAsia="ru-RU"/>
              </w:rPr>
              <w:lastRenderedPageBreak/>
              <w:t>податків/зборів, виникнення необхідності у сплаті податків/зборів),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Не </w:t>
            </w:r>
            <w:r w:rsidRPr="00C67276">
              <w:rPr>
                <w:rFonts w:ascii="Times New Roman" w:hAnsi="Times New Roman" w:cs="Times New Roman"/>
                <w:sz w:val="24"/>
                <w:szCs w:val="24"/>
                <w:lang w:val="uk-UA" w:eastAsia="ru-RU"/>
              </w:rPr>
              <w:lastRenderedPageBreak/>
              <w:t>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3</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 пов'язані із веденням обліку, підготовкою та поданням звітності державним органам,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4</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5</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6</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 на оборотні активи (матеріали, канцелярські товари тощо),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7</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Витрати, пов'язані із наймом додаткового персоналу,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8</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Інше (уточнити),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9</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РАЗОМ (сума рядків: 1 + 2 + 3 + 4 + 5 + 6 + 7 + 8),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10</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Кількість суб'єктів господарювання великого та середнього підприємництва, на яких буде поширено регулювання, одиниць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15</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c>
          <w:tcPr>
            <w:tcW w:w="80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11</w:t>
            </w:r>
          </w:p>
        </w:tc>
        <w:tc>
          <w:tcPr>
            <w:tcW w:w="2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c>
          <w:tcPr>
            <w:tcW w:w="80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Не передбачені</w:t>
            </w:r>
          </w:p>
        </w:tc>
      </w:tr>
      <w:tr w:rsidR="00023DCA" w:rsidRPr="00C67276">
        <w:trPr>
          <w:gridAfter w:val="1"/>
          <w:wAfter w:w="1409" w:type="dxa"/>
        </w:trPr>
        <w:tc>
          <w:tcPr>
            <w:tcW w:w="345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Сумарні витрати за альтернативами</w:t>
            </w:r>
          </w:p>
        </w:tc>
        <w:tc>
          <w:tcPr>
            <w:tcW w:w="15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Сума витрат, гривень</w:t>
            </w:r>
          </w:p>
        </w:tc>
      </w:tr>
      <w:tr w:rsidR="00023DCA" w:rsidRPr="00C67276">
        <w:trPr>
          <w:gridAfter w:val="1"/>
          <w:wAfter w:w="1409" w:type="dxa"/>
        </w:trPr>
        <w:tc>
          <w:tcPr>
            <w:tcW w:w="345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1.</w:t>
            </w:r>
          </w:p>
        </w:tc>
        <w:tc>
          <w:tcPr>
            <w:tcW w:w="15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0,00</w:t>
            </w:r>
          </w:p>
        </w:tc>
      </w:tr>
      <w:tr w:rsidR="00023DCA" w:rsidRPr="00C67276">
        <w:trPr>
          <w:gridAfter w:val="1"/>
          <w:wAfter w:w="1409" w:type="dxa"/>
        </w:trPr>
        <w:tc>
          <w:tcPr>
            <w:tcW w:w="345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2.</w:t>
            </w:r>
          </w:p>
        </w:tc>
        <w:tc>
          <w:tcPr>
            <w:tcW w:w="15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w:t>
            </w:r>
          </w:p>
        </w:tc>
      </w:tr>
      <w:tr w:rsidR="00023DCA" w:rsidRPr="00C67276">
        <w:trPr>
          <w:gridAfter w:val="1"/>
          <w:wAfter w:w="1409" w:type="dxa"/>
        </w:trPr>
        <w:tc>
          <w:tcPr>
            <w:tcW w:w="3450" w:type="pct"/>
            <w:gridSpan w:val="2"/>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3.</w:t>
            </w:r>
          </w:p>
        </w:tc>
        <w:tc>
          <w:tcPr>
            <w:tcW w:w="15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0,00</w:t>
            </w:r>
          </w:p>
        </w:tc>
      </w:tr>
    </w:tbl>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IV. Вибір найбільш оптимального альтернативного способу досягнення цілей</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За результатами опрацювання альтернативних способів досягнення цілей державного регулювання здійснено вибір оптимального альтернативного способу з урахуванням системи бальної оцінки ступеня досягнення визначених цілей.</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Вартість балів визначається за чотирибальною системою оцінки ступня досягнення визначених цілей.</w:t>
      </w:r>
    </w:p>
    <w:tbl>
      <w:tblPr>
        <w:tblW w:w="0" w:type="auto"/>
        <w:tblInd w:w="-7" w:type="dxa"/>
        <w:tblBorders>
          <w:top w:val="single" w:sz="6" w:space="0" w:color="989898"/>
          <w:left w:val="single" w:sz="6" w:space="0" w:color="989898"/>
          <w:bottom w:val="single" w:sz="6" w:space="0" w:color="989898"/>
          <w:right w:val="single" w:sz="6" w:space="0" w:color="989898"/>
        </w:tblBorders>
        <w:tblCellMar>
          <w:top w:w="15" w:type="dxa"/>
          <w:left w:w="15" w:type="dxa"/>
          <w:bottom w:w="15" w:type="dxa"/>
          <w:right w:w="15" w:type="dxa"/>
        </w:tblCellMar>
        <w:tblLook w:val="00A0" w:firstRow="1" w:lastRow="0" w:firstColumn="1" w:lastColumn="0" w:noHBand="0" w:noVBand="0"/>
      </w:tblPr>
      <w:tblGrid>
        <w:gridCol w:w="3083"/>
        <w:gridCol w:w="2188"/>
        <w:gridCol w:w="4674"/>
      </w:tblGrid>
      <w:tr w:rsidR="00023DCA" w:rsidRPr="00C67276">
        <w:tc>
          <w:tcPr>
            <w:tcW w:w="15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Рейтинг результативності (досягнення цілей під час вирішення проблеми)</w:t>
            </w:r>
          </w:p>
        </w:tc>
        <w:tc>
          <w:tcPr>
            <w:tcW w:w="1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Бал результативності (за чотирибальною системою оцінки)</w:t>
            </w:r>
          </w:p>
        </w:tc>
        <w:tc>
          <w:tcPr>
            <w:tcW w:w="23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Коментарі щодо присвоєння відповідного бала</w:t>
            </w:r>
          </w:p>
        </w:tc>
      </w:tr>
      <w:tr w:rsidR="00023DCA" w:rsidRPr="00C67276">
        <w:tc>
          <w:tcPr>
            <w:tcW w:w="15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1 - Залишити без змін діючу редакцію Закону про оренду.</w:t>
            </w:r>
          </w:p>
        </w:tc>
        <w:tc>
          <w:tcPr>
            <w:tcW w:w="1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w:t>
            </w:r>
          </w:p>
        </w:tc>
        <w:tc>
          <w:tcPr>
            <w:tcW w:w="23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Є найбільш недоцільним оскільки не дозволить досягнути цілей державного регулювання.</w:t>
            </w:r>
          </w:p>
        </w:tc>
      </w:tr>
      <w:tr w:rsidR="00023DCA" w:rsidRPr="00527645">
        <w:tc>
          <w:tcPr>
            <w:tcW w:w="15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3F73C7">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2 - Внесення змін до чинної редакції </w:t>
            </w:r>
            <w:hyperlink r:id="rId10" w:tgtFrame="_top" w:history="1">
              <w:r w:rsidRPr="00C67276">
                <w:rPr>
                  <w:rFonts w:ascii="Times New Roman" w:hAnsi="Times New Roman" w:cs="Times New Roman"/>
                  <w:sz w:val="24"/>
                  <w:szCs w:val="24"/>
                  <w:lang w:val="uk-UA" w:eastAsia="ru-RU"/>
                </w:rPr>
                <w:t>Положення про оренду</w:t>
              </w:r>
            </w:hyperlink>
            <w:r w:rsidRPr="00C67276">
              <w:rPr>
                <w:rFonts w:ascii="Times New Roman" w:hAnsi="Times New Roman" w:cs="Times New Roman"/>
                <w:sz w:val="24"/>
                <w:szCs w:val="24"/>
                <w:lang w:val="uk-UA" w:eastAsia="ru-RU"/>
              </w:rPr>
              <w:t>.</w:t>
            </w:r>
          </w:p>
        </w:tc>
        <w:tc>
          <w:tcPr>
            <w:tcW w:w="1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2</w:t>
            </w:r>
          </w:p>
        </w:tc>
        <w:tc>
          <w:tcPr>
            <w:tcW w:w="23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3F73C7">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Такий спосіб є недоцільним з огляду на мету розробки проекту закону та правил нормопроектувальної техніки, оскільки змін зазнають більше ніж 50 відсотків діючої редакції </w:t>
            </w:r>
            <w:hyperlink r:id="rId11" w:tgtFrame="_top" w:history="1">
              <w:r w:rsidRPr="00C67276">
                <w:rPr>
                  <w:rFonts w:ascii="Times New Roman" w:hAnsi="Times New Roman" w:cs="Times New Roman"/>
                  <w:sz w:val="24"/>
                  <w:szCs w:val="24"/>
                  <w:lang w:val="uk-UA" w:eastAsia="ru-RU"/>
                </w:rPr>
                <w:t>Положення про оренду</w:t>
              </w:r>
            </w:hyperlink>
            <w:r w:rsidRPr="00C67276">
              <w:rPr>
                <w:rFonts w:ascii="Times New Roman" w:hAnsi="Times New Roman" w:cs="Times New Roman"/>
                <w:sz w:val="24"/>
                <w:szCs w:val="24"/>
                <w:lang w:val="uk-UA" w:eastAsia="ru-RU"/>
              </w:rPr>
              <w:t>.</w:t>
            </w:r>
          </w:p>
        </w:tc>
      </w:tr>
      <w:tr w:rsidR="00023DCA" w:rsidRPr="00C67276">
        <w:tc>
          <w:tcPr>
            <w:tcW w:w="1550" w:type="pct"/>
            <w:tcBorders>
              <w:top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Альтернатива 3 - Розробка нової редакції Закону України "Про оренду державного та комунального майна".</w:t>
            </w:r>
          </w:p>
        </w:tc>
        <w:tc>
          <w:tcPr>
            <w:tcW w:w="11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4</w:t>
            </w:r>
          </w:p>
        </w:tc>
        <w:tc>
          <w:tcPr>
            <w:tcW w:w="2350" w:type="pct"/>
            <w:tcBorders>
              <w:top w:val="single" w:sz="6" w:space="0" w:color="989898"/>
              <w:left w:val="single" w:sz="6" w:space="0" w:color="989898"/>
              <w:bottom w:val="single" w:sz="6" w:space="0" w:color="989898"/>
            </w:tcBorders>
            <w:shd w:val="clear" w:color="auto" w:fill="FFFFFF"/>
            <w:tcMar>
              <w:top w:w="0" w:type="dxa"/>
              <w:left w:w="0" w:type="dxa"/>
              <w:bottom w:w="0" w:type="dxa"/>
              <w:right w:w="0" w:type="dxa"/>
            </w:tcMar>
          </w:tcPr>
          <w:p w:rsidR="00023DCA" w:rsidRPr="00C67276" w:rsidRDefault="00023DCA" w:rsidP="00D91164">
            <w:pPr>
              <w:spacing w:after="0" w:line="360" w:lineRule="atLeast"/>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Є найбільш ефективним з огляду на правила нормопроектувальної техніки та забезпечить досягненню цілей державного регулювання у сфері оренди державного та комунального майна.</w:t>
            </w:r>
          </w:p>
        </w:tc>
      </w:tr>
    </w:tbl>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V. Механізми та заходи, які забезпечать розв'язання визначеної проблеми</w:t>
      </w:r>
    </w:p>
    <w:p w:rsidR="00023DCA" w:rsidRPr="00C67276" w:rsidRDefault="00023DCA" w:rsidP="003E0BA3">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Реалізація запропонованого регулювання буде здійснюватися шляхом впровадження наступних заходів:</w:t>
      </w:r>
    </w:p>
    <w:p w:rsidR="00023DCA" w:rsidRPr="00C67276" w:rsidRDefault="00023DCA" w:rsidP="003E0BA3">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а) економіко-фінансові заходи займають головне місце в удосконаленні регулювання орендних відносин і включають:</w:t>
      </w:r>
    </w:p>
    <w:p w:rsidR="00023DCA" w:rsidRPr="00C67276" w:rsidRDefault="00023DCA" w:rsidP="003E0BA3">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перспективи і цілі передачі в оренду комунального майна, прогнозування надходжень у місцевий бюджет, розвиток підприємництва;</w:t>
      </w:r>
    </w:p>
    <w:p w:rsidR="00023DCA" w:rsidRPr="00C67276" w:rsidRDefault="00023DCA" w:rsidP="003E0BA3">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впровадження визначення розміру орендної плати за використання комунального майна громадськими організаціями, ;</w:t>
      </w:r>
    </w:p>
    <w:p w:rsidR="00023DCA" w:rsidRPr="00C67276" w:rsidRDefault="00023DCA" w:rsidP="003E0BA3">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б) інформаційно-рекламні заходи також відіграють значну роль у впровадженні даного регулювання:</w:t>
      </w:r>
    </w:p>
    <w:p w:rsidR="00023DCA" w:rsidRPr="00C67276" w:rsidRDefault="00023DCA" w:rsidP="003E0BA3">
      <w:pPr>
        <w:shd w:val="clear" w:color="auto" w:fill="FFFFFF"/>
        <w:spacing w:after="15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забезпечення права орендарів на одержання інформації про умови здачі в оренду комунального майна.</w:t>
      </w:r>
    </w:p>
    <w:p w:rsidR="00023DCA" w:rsidRPr="00C67276" w:rsidRDefault="00023DCA" w:rsidP="003E0BA3">
      <w:pPr>
        <w:shd w:val="clear" w:color="auto" w:fill="FFFFFF"/>
        <w:spacing w:after="0" w:line="360" w:lineRule="atLeast"/>
        <w:ind w:firstLine="567"/>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Задля збереження реальної плати за користування комунальним майном протягом всього строку чинності договору оренди пропонується передбачити обов'язковість проведення оцінки об'єкта оренди протягом всього строку дії договору кожні три роки. Крім того, доцільним також є встановлення на законодавчому рівні обов'язкової вимоги перегляду розміру орендної плати з урахуванням нової оцінки об'єкта оренди оскільки на сьогодні чіткої вимоги щодо необхідності такого перерахунку немає.</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Крім того, з метою уніфікації визначень та уникнення в подальшому різночитань термінів у проекті закону передбачено окремий розділ "Визначення термінів".</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lastRenderedPageBreak/>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p>
    <w:p w:rsidR="00023DCA" w:rsidRPr="00C67276" w:rsidRDefault="00023DCA" w:rsidP="000B2613">
      <w:pPr>
        <w:shd w:val="clear" w:color="auto" w:fill="FFFFFF"/>
        <w:spacing w:after="0" w:line="360" w:lineRule="auto"/>
        <w:ind w:firstLine="567"/>
        <w:jc w:val="both"/>
        <w:rPr>
          <w:rFonts w:ascii="Times New Roman" w:hAnsi="Times New Roman" w:cs="Times New Roman"/>
          <w:sz w:val="21"/>
          <w:szCs w:val="21"/>
          <w:shd w:val="clear" w:color="auto" w:fill="FFFFFF"/>
          <w:lang w:val="uk-UA"/>
        </w:rPr>
      </w:pPr>
      <w:r w:rsidRPr="00C67276">
        <w:rPr>
          <w:rFonts w:ascii="Times New Roman" w:hAnsi="Times New Roman" w:cs="Times New Roman"/>
          <w:sz w:val="21"/>
          <w:szCs w:val="21"/>
          <w:shd w:val="clear" w:color="auto" w:fill="FFFFFF"/>
          <w:lang w:val="uk-UA"/>
        </w:rPr>
        <w:t>Реалізація регуляторного акта не потребує додаткових фінансових, матеріальних та інших витрат ані від органів влади, ані від суб'єктів господарювання.</w:t>
      </w:r>
    </w:p>
    <w:p w:rsidR="00023DCA" w:rsidRPr="00C67276" w:rsidRDefault="00023DCA" w:rsidP="000B2613">
      <w:pPr>
        <w:spacing w:after="0" w:line="360" w:lineRule="auto"/>
        <w:ind w:firstLine="720"/>
        <w:jc w:val="both"/>
        <w:rPr>
          <w:rFonts w:ascii="Times New Roman" w:hAnsi="Times New Roman" w:cs="Times New Roman"/>
          <w:sz w:val="21"/>
          <w:szCs w:val="21"/>
          <w:shd w:val="clear" w:color="auto" w:fill="FFFFFF"/>
          <w:lang w:val="uk-UA"/>
        </w:rPr>
      </w:pPr>
      <w:r w:rsidRPr="00C67276">
        <w:rPr>
          <w:rFonts w:ascii="Times New Roman" w:hAnsi="Times New Roman" w:cs="Times New Roman"/>
          <w:sz w:val="21"/>
          <w:szCs w:val="21"/>
          <w:shd w:val="clear" w:color="auto" w:fill="FFFFFF"/>
          <w:lang w:val="uk-UA"/>
        </w:rPr>
        <w:t>Впровадження та виконання вимог запропонованого проекту регуляторного акта відповідає тим ресурсам, якими розпоряджається орган місцевого самоврядування, а також ресурсам суб’єктів господарювання, на яких розповсюджується дія запропонованого проекту регуляторного акта.</w:t>
      </w:r>
    </w:p>
    <w:p w:rsidR="00023DCA" w:rsidRPr="00C67276" w:rsidRDefault="00023DCA" w:rsidP="003E0BA3">
      <w:pPr>
        <w:shd w:val="clear" w:color="auto" w:fill="FFFFFF"/>
        <w:spacing w:after="0" w:line="360" w:lineRule="atLeast"/>
        <w:ind w:firstLine="567"/>
        <w:jc w:val="both"/>
        <w:rPr>
          <w:rFonts w:ascii="Times New Roman" w:hAnsi="Times New Roman" w:cs="Times New Roman"/>
          <w:sz w:val="24"/>
          <w:szCs w:val="24"/>
          <w:lang w:val="uk-UA" w:eastAsia="ru-RU"/>
        </w:rPr>
      </w:pPr>
      <w:r w:rsidRPr="00C67276">
        <w:rPr>
          <w:rFonts w:ascii="Times New Roman" w:hAnsi="Times New Roman" w:cs="Times New Roman"/>
          <w:sz w:val="21"/>
          <w:szCs w:val="21"/>
          <w:shd w:val="clear" w:color="auto" w:fill="FFFFFF"/>
          <w:lang w:val="uk-UA"/>
        </w:rPr>
        <w:t>Питома вага суб’єктів малого підприємництва (малих та мікропідприємств разом) у загальній кількості суб’єктів господарювання, на яких поширюється регулювання, перевищує 10 відсотків(становить 100%), а одже необхідно здійснити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 затвердженої постановою Кабінету Міністрів від 11 березня 2004 р. №308 «Про затвердження методик проведення аналізу впливу та відстеження результативності регуляторного акта»</w:t>
      </w:r>
    </w:p>
    <w:p w:rsidR="00023DCA" w:rsidRPr="00C67276" w:rsidRDefault="00023DCA" w:rsidP="00B665AB">
      <w:pPr>
        <w:shd w:val="clear" w:color="auto" w:fill="FFFFFF"/>
        <w:spacing w:after="0" w:line="360" w:lineRule="atLeast"/>
        <w:jc w:val="center"/>
        <w:rPr>
          <w:rFonts w:ascii="Times New Roman" w:hAnsi="Times New Roman" w:cs="Times New Roman"/>
          <w:sz w:val="24"/>
          <w:szCs w:val="24"/>
          <w:lang w:val="uk-UA" w:eastAsia="ru-RU"/>
        </w:rPr>
      </w:pPr>
      <w:r w:rsidRPr="00C67276">
        <w:rPr>
          <w:rFonts w:ascii="Times New Roman" w:hAnsi="Times New Roman" w:cs="Times New Roman"/>
          <w:b/>
          <w:bCs/>
          <w:sz w:val="24"/>
          <w:szCs w:val="24"/>
          <w:lang w:val="uk-UA" w:eastAsia="ru-RU"/>
        </w:rPr>
        <w:t>ТЕСТ</w:t>
      </w:r>
      <w:r w:rsidRPr="00C67276">
        <w:rPr>
          <w:rFonts w:ascii="Times New Roman" w:hAnsi="Times New Roman" w:cs="Times New Roman"/>
          <w:b/>
          <w:bCs/>
          <w:sz w:val="24"/>
          <w:szCs w:val="24"/>
          <w:lang w:val="uk-UA" w:eastAsia="ru-RU"/>
        </w:rPr>
        <w:br/>
        <w:t>малого підприємництва (М-Тест)</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 Консультації з представниками мікро- та малого підприємництва щодо оцінки впливу регулювання</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департаментом економіки Чернівецької міської ради у період з 01.09.2016 р. по 01.11.2016 р.</w:t>
      </w:r>
    </w:p>
    <w:tbl>
      <w:tblPr>
        <w:tblW w:w="0" w:type="auto"/>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911"/>
        <w:gridCol w:w="2737"/>
        <w:gridCol w:w="1722"/>
        <w:gridCol w:w="4560"/>
      </w:tblGrid>
      <w:tr w:rsidR="00023DCA" w:rsidRPr="00C67276">
        <w:tc>
          <w:tcPr>
            <w:tcW w:w="450" w:type="pct"/>
            <w:tcBorders>
              <w:top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Порядк. номер</w:t>
            </w:r>
          </w:p>
        </w:tc>
        <w:tc>
          <w:tcPr>
            <w:tcW w:w="13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8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Кількість учасників, консультацій, осіб</w:t>
            </w:r>
          </w:p>
        </w:tc>
        <w:tc>
          <w:tcPr>
            <w:tcW w:w="2250" w:type="pct"/>
            <w:tcBorders>
              <w:top w:val="outset" w:sz="6" w:space="0" w:color="auto"/>
              <w:left w:val="outset" w:sz="6" w:space="0" w:color="auto"/>
              <w:bottom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Основні результати консультацій (опис)</w:t>
            </w:r>
          </w:p>
        </w:tc>
      </w:tr>
      <w:tr w:rsidR="00023DCA" w:rsidRPr="00C67276">
        <w:tc>
          <w:tcPr>
            <w:tcW w:w="450" w:type="pct"/>
            <w:tcBorders>
              <w:top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1</w:t>
            </w:r>
          </w:p>
        </w:tc>
        <w:tc>
          <w:tcPr>
            <w:tcW w:w="13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Наради, робочі зустрічі</w:t>
            </w:r>
          </w:p>
        </w:tc>
        <w:tc>
          <w:tcPr>
            <w:tcW w:w="8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20</w:t>
            </w:r>
          </w:p>
        </w:tc>
        <w:tc>
          <w:tcPr>
            <w:tcW w:w="2250" w:type="pct"/>
            <w:tcBorders>
              <w:top w:val="outset" w:sz="6" w:space="0" w:color="auto"/>
              <w:left w:val="outset" w:sz="6" w:space="0" w:color="auto"/>
              <w:bottom w:val="outset" w:sz="6" w:space="0" w:color="auto"/>
            </w:tcBorders>
          </w:tcPr>
          <w:p w:rsidR="00023DCA" w:rsidRPr="00C67276" w:rsidRDefault="00023DCA" w:rsidP="00BE0035">
            <w:pPr>
              <w:spacing w:after="150" w:line="240" w:lineRule="auto"/>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Представниками малого підприємництва та членами виконавчого комітету міської ради, членами постійних комісій міської ради, житлово-комунального господарства, підприємництва, які були присутні на нараді, запропоновано опрацювати постійним комісіям з подальшим  винесенням на розгляд сесії міської ради проект регуляторного акта Положення про оренду майна, що належить до територіальної громади м.Чернівців (в новій редакції)</w:t>
            </w:r>
          </w:p>
        </w:tc>
      </w:tr>
      <w:tr w:rsidR="00023DCA" w:rsidRPr="00C67276">
        <w:tc>
          <w:tcPr>
            <w:tcW w:w="450" w:type="pct"/>
            <w:tcBorders>
              <w:top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2</w:t>
            </w:r>
          </w:p>
        </w:tc>
        <w:tc>
          <w:tcPr>
            <w:tcW w:w="13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Опитування суб’єктів </w:t>
            </w:r>
            <w:r w:rsidRPr="00C67276">
              <w:rPr>
                <w:rFonts w:ascii="Times New Roman" w:hAnsi="Times New Roman" w:cs="Times New Roman"/>
                <w:sz w:val="24"/>
                <w:szCs w:val="24"/>
                <w:lang w:val="uk-UA" w:eastAsia="ru-RU"/>
              </w:rPr>
              <w:lastRenderedPageBreak/>
              <w:t>господарювання в телефонному режимі</w:t>
            </w:r>
          </w:p>
        </w:tc>
        <w:tc>
          <w:tcPr>
            <w:tcW w:w="8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10</w:t>
            </w:r>
          </w:p>
        </w:tc>
        <w:tc>
          <w:tcPr>
            <w:tcW w:w="2250" w:type="pct"/>
            <w:tcBorders>
              <w:top w:val="outset" w:sz="6" w:space="0" w:color="auto"/>
              <w:left w:val="outset" w:sz="6" w:space="0" w:color="auto"/>
              <w:bottom w:val="outset" w:sz="6" w:space="0" w:color="auto"/>
            </w:tcBorders>
          </w:tcPr>
          <w:p w:rsidR="00023DCA" w:rsidRPr="00C67276" w:rsidRDefault="00023DCA" w:rsidP="00543B0B">
            <w:pPr>
              <w:spacing w:after="150" w:line="240" w:lineRule="auto"/>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Суб’єкти господарювання не заперечують </w:t>
            </w:r>
            <w:r w:rsidRPr="00C67276">
              <w:rPr>
                <w:rFonts w:ascii="Times New Roman" w:hAnsi="Times New Roman" w:cs="Times New Roman"/>
                <w:sz w:val="24"/>
                <w:szCs w:val="24"/>
                <w:lang w:val="uk-UA" w:eastAsia="ru-RU"/>
              </w:rPr>
              <w:lastRenderedPageBreak/>
              <w:t>проти перегляду ставок оренди і затвердження проекту регуляторного акта Положення про оренду майна, що належить до територіальної громади м.Чернівців в новій редакції</w:t>
            </w:r>
          </w:p>
        </w:tc>
      </w:tr>
      <w:tr w:rsidR="00023DCA" w:rsidRPr="00C67276">
        <w:tc>
          <w:tcPr>
            <w:tcW w:w="450" w:type="pct"/>
            <w:tcBorders>
              <w:top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3</w:t>
            </w:r>
          </w:p>
        </w:tc>
        <w:tc>
          <w:tcPr>
            <w:tcW w:w="13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18"/>
                <w:szCs w:val="18"/>
                <w:shd w:val="clear" w:color="auto" w:fill="FFFFFF"/>
                <w:lang w:val="uk-UA"/>
              </w:rPr>
              <w:t>Особисті зустрічі</w:t>
            </w:r>
          </w:p>
        </w:tc>
        <w:tc>
          <w:tcPr>
            <w:tcW w:w="8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5</w:t>
            </w:r>
          </w:p>
        </w:tc>
        <w:tc>
          <w:tcPr>
            <w:tcW w:w="2250" w:type="pct"/>
            <w:tcBorders>
              <w:top w:val="outset" w:sz="6" w:space="0" w:color="auto"/>
              <w:left w:val="outset" w:sz="6" w:space="0" w:color="auto"/>
              <w:bottom w:val="outset" w:sz="6" w:space="0" w:color="auto"/>
            </w:tcBorders>
          </w:tcPr>
          <w:p w:rsidR="00023DCA" w:rsidRPr="00C67276" w:rsidRDefault="00023DCA" w:rsidP="003F73C7">
            <w:pPr>
              <w:spacing w:after="150" w:line="240" w:lineRule="auto"/>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 З орендарями щодо необхідності внесення змін в діюче Положення (Ощадбанк, Укрпошта, творчі працівники, Астелліт,</w:t>
            </w:r>
          </w:p>
        </w:tc>
      </w:tr>
      <w:tr w:rsidR="00023DCA" w:rsidRPr="00C67276">
        <w:tc>
          <w:tcPr>
            <w:tcW w:w="450" w:type="pct"/>
            <w:tcBorders>
              <w:top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4</w:t>
            </w:r>
          </w:p>
        </w:tc>
        <w:tc>
          <w:tcPr>
            <w:tcW w:w="13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18"/>
                <w:szCs w:val="18"/>
                <w:shd w:val="clear" w:color="auto" w:fill="FFFFFF"/>
                <w:lang w:val="uk-UA"/>
              </w:rPr>
              <w:t>Запити</w:t>
            </w:r>
          </w:p>
        </w:tc>
        <w:tc>
          <w:tcPr>
            <w:tcW w:w="850" w:type="pct"/>
            <w:tcBorders>
              <w:top w:val="outset" w:sz="6" w:space="0" w:color="auto"/>
              <w:left w:val="outset" w:sz="6" w:space="0" w:color="auto"/>
              <w:bottom w:val="outset" w:sz="6" w:space="0" w:color="auto"/>
              <w:right w:val="outset" w:sz="6" w:space="0" w:color="auto"/>
            </w:tcBorders>
          </w:tcPr>
          <w:p w:rsidR="00023DCA" w:rsidRPr="00C67276" w:rsidRDefault="00023DCA" w:rsidP="003F73C7">
            <w:pPr>
              <w:spacing w:after="150" w:line="240" w:lineRule="auto"/>
              <w:jc w:val="center"/>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2</w:t>
            </w:r>
          </w:p>
        </w:tc>
        <w:tc>
          <w:tcPr>
            <w:tcW w:w="2250" w:type="pct"/>
            <w:tcBorders>
              <w:top w:val="outset" w:sz="6" w:space="0" w:color="auto"/>
              <w:left w:val="outset" w:sz="6" w:space="0" w:color="auto"/>
              <w:bottom w:val="outset" w:sz="6" w:space="0" w:color="auto"/>
            </w:tcBorders>
          </w:tcPr>
          <w:p w:rsidR="00023DCA" w:rsidRPr="00C67276" w:rsidRDefault="00023DCA" w:rsidP="003F73C7">
            <w:pPr>
              <w:spacing w:after="150" w:line="240" w:lineRule="auto"/>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Юридичне та фінансове управління </w:t>
            </w:r>
          </w:p>
        </w:tc>
      </w:tr>
    </w:tbl>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 Вимірювання впливу регулювання на суб’єктів малого підприємництва (мікро- та малі):</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кількість суб’єктів малого підприємництва, на яких поширюється регулювання: 725 (одиниць), у тому числі малого підприємництва 35 (одиниць) та мікропідприємництва 690 (одиниць) (Дані наведено згідно існуючої бази орендарів з врахуванням чисельності працюючих згідно запиту до податкових органів).</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питома вага суб’єктів малого підприємництва у загальній кількості суб’єктів господарювання, на яких проблема справляє вплив 97,9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3. Розрахунок витрат суб’єктів малого підприємництва на виконання вимог регулювання</w:t>
      </w:r>
    </w:p>
    <w:tbl>
      <w:tblPr>
        <w:tblW w:w="5000"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718"/>
        <w:gridCol w:w="5834"/>
        <w:gridCol w:w="1427"/>
        <w:gridCol w:w="1075"/>
        <w:gridCol w:w="884"/>
      </w:tblGrid>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Порядковий номер</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Найменування оцінки</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У перший рік (стартовий рік впровадження регулювання)</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Періодичні (за наступний рік)</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Витрати за </w:t>
            </w:r>
            <w:r w:rsidRPr="00C67276">
              <w:rPr>
                <w:rFonts w:ascii="Times New Roman" w:hAnsi="Times New Roman" w:cs="Times New Roman"/>
                <w:sz w:val="21"/>
                <w:szCs w:val="21"/>
                <w:lang w:val="uk-UA" w:eastAsia="ru-RU"/>
              </w:rPr>
              <w:br/>
              <w:t>п’ять років</w:t>
            </w:r>
          </w:p>
        </w:tc>
      </w:tr>
      <w:tr w:rsidR="00023DCA" w:rsidRPr="00C67276">
        <w:tc>
          <w:tcPr>
            <w:tcW w:w="5000" w:type="pct"/>
            <w:gridSpan w:val="5"/>
            <w:tcBorders>
              <w:top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Оцінка “прямих” витрат суб’єктів малого підприємництва на виконання регулювання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Придбання необхідного обладнання (пристроїв, машин, механізмів)</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повірки та/або постановки на відповідний облік у визначеному органі державної влади чи місцевого самоврядування</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3</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експлуатації обладнання (експлуатаційні витрати - витратні матеріали)</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4</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обслуговування обладнання (технічне обслуговування)</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5</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Інші процедури:</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Оренда комунального майна (грн./рік)</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за найбільшою вартістю – 14364 грн. за 1 м.кв. в рік (Вако)</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за найменшою вартістю – 10,8 грн. за 1 м.кв. в рік (громадська організація інвалідів), гаражі</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1814580</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128,52</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1814580</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128,52</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9072900</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642,6</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6</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Разом, гривень/рік</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за найбільшою вартістю</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за найменшою вартістю</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i/>
                <w:iCs/>
                <w:sz w:val="21"/>
                <w:szCs w:val="21"/>
                <w:lang w:val="uk-UA" w:eastAsia="ru-RU"/>
              </w:rPr>
              <w:t> (сума рядків 1 + 2 + 3 + 4 + 5)</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1814580</w:t>
            </w:r>
          </w:p>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128,52</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9072900</w:t>
            </w:r>
          </w:p>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642,6 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7</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Кількість суб’єктів господарювання, що повинні виконати вимоги регулювання, одиниць</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740</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8</w:t>
            </w:r>
          </w:p>
        </w:tc>
        <w:tc>
          <w:tcPr>
            <w:tcW w:w="2934"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Сумарно, гривень/рік</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5000" w:type="pct"/>
            <w:gridSpan w:val="5"/>
            <w:tcBorders>
              <w:top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lastRenderedPageBreak/>
              <w:t>Оцінка вартості адміністративних процедур суб’єктів малого підприємництва щодо виконання регулювання та звітування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отримання первинної інформації про вимоги регулювання</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10</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організації виконання вимог регулювання</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11</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офіційного звітування</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12</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Процедури щодо забезпечення процесу перевірок</w:t>
            </w:r>
          </w:p>
        </w:tc>
        <w:tc>
          <w:tcPr>
            <w:tcW w:w="1705" w:type="pct"/>
            <w:gridSpan w:val="3"/>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Не передбачається</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13</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Інші процедури (уточнити)</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14</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Разом, гривень</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i/>
                <w:iCs/>
                <w:sz w:val="21"/>
                <w:szCs w:val="21"/>
                <w:lang w:val="uk-UA" w:eastAsia="ru-RU"/>
              </w:rPr>
              <w:t>Формула:</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i/>
                <w:iCs/>
                <w:sz w:val="21"/>
                <w:szCs w:val="21"/>
                <w:lang w:val="uk-UA" w:eastAsia="ru-RU"/>
              </w:rPr>
              <w:t>(сума рядків 9 + 10 + 11 + 12 + 13)</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15</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5A2233">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Кількість суб’єктів малого підприємництва, що повинні виконати вимоги регулювання, одиниць </w:t>
            </w:r>
            <w:r w:rsidRPr="00C67276">
              <w:rPr>
                <w:rFonts w:ascii="Times New Roman" w:hAnsi="Times New Roman" w:cs="Times New Roman"/>
                <w:i/>
                <w:iCs/>
                <w:sz w:val="21"/>
                <w:szCs w:val="21"/>
                <w:lang w:val="uk-UA" w:eastAsia="ru-RU"/>
              </w:rPr>
              <w:t>(обраховано за кількістю орендарів, які можуть скористатись послугами)</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5A2233">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725</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725</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361"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16</w:t>
            </w:r>
          </w:p>
        </w:tc>
        <w:tc>
          <w:tcPr>
            <w:tcW w:w="2935"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Сумарно, гривень</w:t>
            </w:r>
          </w:p>
        </w:tc>
        <w:tc>
          <w:tcPr>
            <w:tcW w:w="718"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541"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446"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bl>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Місцевий державний орган, для якого здійснюється розрахунок вартості адміністрування регулювання:</w:t>
      </w:r>
    </w:p>
    <w:p w:rsidR="00023DCA" w:rsidRPr="00C67276" w:rsidRDefault="00023DCA" w:rsidP="003F73C7">
      <w:pPr>
        <w:shd w:val="clear" w:color="auto" w:fill="FFFFFF"/>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Чернівецька міська рада</w:t>
      </w:r>
      <w:r w:rsidRPr="00C67276">
        <w:rPr>
          <w:rFonts w:ascii="Times New Roman" w:hAnsi="Times New Roman" w:cs="Times New Roman"/>
          <w:sz w:val="21"/>
          <w:szCs w:val="21"/>
          <w:lang w:val="uk-UA" w:eastAsia="ru-RU"/>
        </w:rPr>
        <w:br/>
        <w:t>(назва органу місцевого самоврядування)</w:t>
      </w:r>
    </w:p>
    <w:tbl>
      <w:tblPr>
        <w:tblW w:w="0" w:type="auto"/>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717"/>
        <w:gridCol w:w="1297"/>
        <w:gridCol w:w="1398"/>
        <w:gridCol w:w="1298"/>
        <w:gridCol w:w="1416"/>
        <w:gridCol w:w="1804"/>
      </w:tblGrid>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Планові витрати часу на процедуру</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Вартість часу співробітника органу державної влади відповідної категорії (заробітна плата)</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Оцінка кількості процедур за рік, що припадають на одного суб’єкта</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Оцінка кількості  суб’єктів, що підпадають під дію процедури регулювання</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Витрати на адміністрування регулювання* (за рік), гривень</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 Облік суб’єкта господарювання, що перебуває у сфері регулювання</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 год.</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18,5 грн/год</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200 (переукладання договорів у 2017 році)</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3700</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 Поточний контроль за суб’єктом господарювання, що перебуває у сфері регулювання, у тому числі:</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камеральні</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виїзні</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3. Підготовка, затвердження та опрацювання одного окремого акта про порушення вимог регулювання</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4. Реалізація одного окремого рішення щодо порушення вимог регулювання</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xml:space="preserve">5. Оскарження одного окремого рішення суб’єктами </w:t>
            </w:r>
            <w:r w:rsidRPr="00C67276">
              <w:rPr>
                <w:rFonts w:ascii="Times New Roman" w:hAnsi="Times New Roman" w:cs="Times New Roman"/>
                <w:sz w:val="21"/>
                <w:szCs w:val="21"/>
                <w:lang w:val="uk-UA" w:eastAsia="ru-RU"/>
              </w:rPr>
              <w:lastRenderedPageBreak/>
              <w:t>господарювання</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lastRenderedPageBreak/>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lastRenderedPageBreak/>
              <w:t>6. Підготовка звітності за результатами регулювання</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7. Інші адміністративні процедури (уточнити): </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 розрахунок плати за оренду</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 проведення конкурсу та аукціону на право оренди вільних об’єктів</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 год.</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24 год.</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18,5 грн/год</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18,5 грн/год</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1</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1</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200</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20</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7400</w:t>
            </w:r>
          </w:p>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8880</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Разом за рік</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19980</w:t>
            </w:r>
          </w:p>
        </w:tc>
      </w:tr>
      <w:tr w:rsidR="00023DCA" w:rsidRPr="00C67276">
        <w:tc>
          <w:tcPr>
            <w:tcW w:w="1350" w:type="pct"/>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Сумарно за п’ять років</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70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650" w:type="pct"/>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Х</w:t>
            </w:r>
          </w:p>
        </w:tc>
        <w:tc>
          <w:tcPr>
            <w:tcW w:w="900" w:type="pct"/>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99900</w:t>
            </w:r>
          </w:p>
        </w:tc>
      </w:tr>
    </w:tbl>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 </w:t>
      </w:r>
    </w:p>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4. Розрахунок сумарних витрат суб’єктів малого підприємництва, що виникають на виконання вимог регулювання</w:t>
      </w:r>
    </w:p>
    <w:tbl>
      <w:tblPr>
        <w:tblW w:w="960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1446"/>
        <w:gridCol w:w="3449"/>
        <w:gridCol w:w="2416"/>
        <w:gridCol w:w="2289"/>
      </w:tblGrid>
      <w:tr w:rsidR="00023DCA" w:rsidRPr="00C67276">
        <w:tc>
          <w:tcPr>
            <w:tcW w:w="1365" w:type="dxa"/>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Порядковий номер</w:t>
            </w:r>
          </w:p>
        </w:tc>
        <w:tc>
          <w:tcPr>
            <w:tcW w:w="3255"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Показник</w:t>
            </w:r>
          </w:p>
        </w:tc>
        <w:tc>
          <w:tcPr>
            <w:tcW w:w="2280"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Перший рік регулювання (стартовий)</w:t>
            </w:r>
          </w:p>
        </w:tc>
        <w:tc>
          <w:tcPr>
            <w:tcW w:w="2160" w:type="dxa"/>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За п’ять років</w:t>
            </w:r>
          </w:p>
        </w:tc>
      </w:tr>
      <w:tr w:rsidR="00023DCA" w:rsidRPr="00C67276">
        <w:tc>
          <w:tcPr>
            <w:tcW w:w="1365" w:type="dxa"/>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w:t>
            </w:r>
          </w:p>
        </w:tc>
        <w:tc>
          <w:tcPr>
            <w:tcW w:w="3255"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Оцінка “прямих” витрат суб’єктів малого підприємництва на виконання регулювання</w:t>
            </w:r>
          </w:p>
        </w:tc>
        <w:tc>
          <w:tcPr>
            <w:tcW w:w="2280"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F75E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1814580 грн./рік(за найбільшою вартістю)</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128,52 грн./рік (за найменшою вартістю)</w:t>
            </w:r>
          </w:p>
        </w:tc>
        <w:tc>
          <w:tcPr>
            <w:tcW w:w="2160" w:type="dxa"/>
            <w:tcBorders>
              <w:top w:val="outset" w:sz="6" w:space="0" w:color="auto"/>
              <w:left w:val="outset" w:sz="6" w:space="0" w:color="auto"/>
              <w:bottom w:val="outset" w:sz="6" w:space="0" w:color="auto"/>
            </w:tcBorders>
            <w:shd w:val="clear" w:color="auto" w:fill="FFFFFF"/>
          </w:tcPr>
          <w:p w:rsidR="00023DCA" w:rsidRPr="00C67276" w:rsidRDefault="00023DCA" w:rsidP="00F75E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9072900 грн./рік(за найбільшою вартістю)</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642,6 грн./рік (за найменшою вартістю)</w:t>
            </w:r>
          </w:p>
        </w:tc>
      </w:tr>
      <w:tr w:rsidR="00023DCA" w:rsidRPr="00C67276">
        <w:tc>
          <w:tcPr>
            <w:tcW w:w="1365" w:type="dxa"/>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w:t>
            </w:r>
          </w:p>
        </w:tc>
        <w:tc>
          <w:tcPr>
            <w:tcW w:w="3255"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Оцінка вартості адміністративних процедур для суб’єктів малого підприємництва щодо виконання регулювання та звітування</w:t>
            </w:r>
          </w:p>
        </w:tc>
        <w:tc>
          <w:tcPr>
            <w:tcW w:w="2280"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c>
          <w:tcPr>
            <w:tcW w:w="2160" w:type="dxa"/>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w:t>
            </w:r>
          </w:p>
        </w:tc>
      </w:tr>
      <w:tr w:rsidR="00023DCA" w:rsidRPr="00C67276">
        <w:tc>
          <w:tcPr>
            <w:tcW w:w="1365" w:type="dxa"/>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3</w:t>
            </w:r>
          </w:p>
        </w:tc>
        <w:tc>
          <w:tcPr>
            <w:tcW w:w="3255"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Сумарні витрати малого підприємництва на виконання запланованого  регулювання</w:t>
            </w:r>
          </w:p>
        </w:tc>
        <w:tc>
          <w:tcPr>
            <w:tcW w:w="2280"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F75E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1814580 грн./рік(за найбільшою вартістю)</w:t>
            </w:r>
          </w:p>
          <w:p w:rsidR="00023DCA" w:rsidRPr="00C67276" w:rsidRDefault="00023DCA" w:rsidP="00F75E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128,52 грн./рік (за найменшою вартістю)</w:t>
            </w:r>
          </w:p>
        </w:tc>
        <w:tc>
          <w:tcPr>
            <w:tcW w:w="2160" w:type="dxa"/>
            <w:tcBorders>
              <w:top w:val="outset" w:sz="6" w:space="0" w:color="auto"/>
              <w:left w:val="outset" w:sz="6" w:space="0" w:color="auto"/>
              <w:bottom w:val="outset" w:sz="6" w:space="0" w:color="auto"/>
            </w:tcBorders>
            <w:shd w:val="clear" w:color="auto" w:fill="FFFFFF"/>
          </w:tcPr>
          <w:p w:rsidR="00023DCA" w:rsidRPr="00C67276" w:rsidRDefault="00023DCA" w:rsidP="00F75E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9072900 грн./рік(за найбільшою вартістю)</w:t>
            </w:r>
          </w:p>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642,6грн./рік (за найменшою вартістю)</w:t>
            </w:r>
          </w:p>
        </w:tc>
      </w:tr>
      <w:tr w:rsidR="00023DCA" w:rsidRPr="00C67276">
        <w:tc>
          <w:tcPr>
            <w:tcW w:w="1365" w:type="dxa"/>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4</w:t>
            </w:r>
          </w:p>
        </w:tc>
        <w:tc>
          <w:tcPr>
            <w:tcW w:w="3255"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Бюджетні витрати  на адміністрування регулювання суб’єктів малого підприємництва</w:t>
            </w:r>
          </w:p>
        </w:tc>
        <w:tc>
          <w:tcPr>
            <w:tcW w:w="2280"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19980грн.</w:t>
            </w:r>
          </w:p>
        </w:tc>
        <w:tc>
          <w:tcPr>
            <w:tcW w:w="2160" w:type="dxa"/>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99900 грн</w:t>
            </w:r>
          </w:p>
        </w:tc>
      </w:tr>
      <w:tr w:rsidR="00023DCA" w:rsidRPr="00C67276">
        <w:tc>
          <w:tcPr>
            <w:tcW w:w="1365" w:type="dxa"/>
            <w:tcBorders>
              <w:top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jc w:val="center"/>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5</w:t>
            </w:r>
          </w:p>
        </w:tc>
        <w:tc>
          <w:tcPr>
            <w:tcW w:w="3255"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Сумарні витрати на виконання запланованого регулювання</w:t>
            </w:r>
          </w:p>
        </w:tc>
        <w:tc>
          <w:tcPr>
            <w:tcW w:w="2280" w:type="dxa"/>
            <w:tcBorders>
              <w:top w:val="outset" w:sz="6" w:space="0" w:color="auto"/>
              <w:left w:val="outset" w:sz="6" w:space="0" w:color="auto"/>
              <w:bottom w:val="outset" w:sz="6" w:space="0" w:color="auto"/>
              <w:right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1834560 грн./рік(за найбільшою вартістю)</w:t>
            </w:r>
          </w:p>
          <w:p w:rsidR="00023DCA" w:rsidRPr="00C67276" w:rsidRDefault="00023DCA" w:rsidP="00645723">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20108,52 грн./рік (за найменшою вартістю)</w:t>
            </w:r>
          </w:p>
        </w:tc>
        <w:tc>
          <w:tcPr>
            <w:tcW w:w="2160" w:type="dxa"/>
            <w:tcBorders>
              <w:top w:val="outset" w:sz="6" w:space="0" w:color="auto"/>
              <w:left w:val="outset" w:sz="6" w:space="0" w:color="auto"/>
              <w:bottom w:val="outset" w:sz="6" w:space="0" w:color="auto"/>
            </w:tcBorders>
            <w:shd w:val="clear" w:color="auto" w:fill="FFFFFF"/>
          </w:tcPr>
          <w:p w:rsidR="00023DCA" w:rsidRPr="00C67276" w:rsidRDefault="00023DCA" w:rsidP="003F73C7">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9172800грн./рік(за найбільшою вартістю)</w:t>
            </w:r>
          </w:p>
          <w:p w:rsidR="00023DCA" w:rsidRPr="00C67276" w:rsidRDefault="00023DCA" w:rsidP="00645723">
            <w:pPr>
              <w:spacing w:after="150" w:line="240" w:lineRule="auto"/>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100542,6 грн./рік (за найменшою вартістю)</w:t>
            </w:r>
          </w:p>
        </w:tc>
      </w:tr>
    </w:tbl>
    <w:p w:rsidR="00023DCA" w:rsidRPr="00C67276" w:rsidRDefault="00023DCA" w:rsidP="003F73C7">
      <w:pPr>
        <w:shd w:val="clear" w:color="auto" w:fill="FFFFFF"/>
        <w:spacing w:after="150" w:line="240" w:lineRule="auto"/>
        <w:jc w:val="both"/>
        <w:rPr>
          <w:rFonts w:ascii="Times New Roman" w:hAnsi="Times New Roman" w:cs="Times New Roman"/>
          <w:sz w:val="21"/>
          <w:szCs w:val="21"/>
          <w:lang w:val="uk-UA" w:eastAsia="ru-RU"/>
        </w:rPr>
      </w:pPr>
      <w:r w:rsidRPr="00C67276">
        <w:rPr>
          <w:rFonts w:ascii="Times New Roman" w:hAnsi="Times New Roman" w:cs="Times New Roman"/>
          <w:sz w:val="21"/>
          <w:szCs w:val="21"/>
          <w:lang w:val="uk-UA" w:eastAsia="ru-RU"/>
        </w:rPr>
        <w:t>5. Розроблення корегуючих (пом’якшувальних) заходів для малого підприємництва щодо запропонованого регулювання – корегуючі заходи не потребують розробки.</w:t>
      </w:r>
    </w:p>
    <w:p w:rsidR="00023DCA" w:rsidRPr="00C67276" w:rsidRDefault="00023DCA" w:rsidP="003F73C7">
      <w:pPr>
        <w:shd w:val="clear" w:color="auto" w:fill="FFFFFF"/>
        <w:spacing w:after="0" w:line="435" w:lineRule="atLeast"/>
        <w:outlineLvl w:val="2"/>
        <w:rPr>
          <w:rFonts w:ascii="Times New Roman" w:hAnsi="Times New Roman" w:cs="Times New Roman"/>
          <w:sz w:val="32"/>
          <w:szCs w:val="32"/>
          <w:lang w:val="uk-UA" w:eastAsia="ru-RU"/>
        </w:rPr>
      </w:pP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VII. Обґрунтування запропонованого строку дії регуляторного акта</w:t>
      </w:r>
    </w:p>
    <w:p w:rsidR="00023DCA" w:rsidRPr="00C67276" w:rsidRDefault="00023DCA" w:rsidP="003F73C7">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Строк дії регуляторного акту необмежений; з можливістю внесення до нього змін та доповнень у разі зміни чинного законодавства України та в інших необхідних випадках.</w:t>
      </w:r>
    </w:p>
    <w:p w:rsidR="00023DCA" w:rsidRPr="00C67276" w:rsidRDefault="00023DCA" w:rsidP="003F73C7">
      <w:pPr>
        <w:pStyle w:val="a4"/>
        <w:shd w:val="clear" w:color="auto" w:fill="FFFFFF"/>
        <w:spacing w:after="150"/>
        <w:jc w:val="both"/>
        <w:rPr>
          <w:color w:val="auto"/>
          <w:sz w:val="21"/>
          <w:szCs w:val="21"/>
          <w:lang w:val="uk-UA"/>
        </w:rPr>
      </w:pPr>
      <w:r w:rsidRPr="00C67276">
        <w:rPr>
          <w:color w:val="auto"/>
          <w:sz w:val="21"/>
          <w:szCs w:val="21"/>
          <w:lang w:val="uk-UA"/>
        </w:rPr>
        <w:t> </w:t>
      </w:r>
    </w:p>
    <w:p w:rsidR="00023DCA" w:rsidRPr="00C67276" w:rsidRDefault="00023DCA" w:rsidP="003F73C7">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 xml:space="preserve"> VIII. Визначення показників результативності дії регуляторного акта</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Показниками результативності запропонованого акта будуть:</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lastRenderedPageBreak/>
        <w:t>- кількість нових договорів оренди комунального майна;</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кількість пролонгованих догорів оренди комунального майна;</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кількість припинених договорів оренди комунального майна;</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надходження коштів до місцевого бюджету від оренди комунального майна;</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загальна площа приміщень комунальної власності, переданих в оренду;</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приріст суб'єктів господарювання - орендарів загалом, серед яких:</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Проект Положення  буде оприлюднено з метою обговорення та отримання від суб'єктів господарювання зауважень та пропозицій.</w:t>
      </w: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p>
    <w:p w:rsidR="00023DCA"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r w:rsidRPr="00C67276">
        <w:rPr>
          <w:rFonts w:ascii="Times New Roman" w:hAnsi="Times New Roman" w:cs="Times New Roman"/>
          <w:sz w:val="32"/>
          <w:szCs w:val="32"/>
          <w:lang w:val="uk-UA" w:eastAsia="ru-RU"/>
        </w:rPr>
        <w:t>IX. Визначення заходів, за допомогою яких здійснюватиметься відстеження результативності дії регуляторного акта</w:t>
      </w:r>
    </w:p>
    <w:p w:rsidR="00023DCA" w:rsidRPr="00C67276" w:rsidRDefault="00023DCA" w:rsidP="00B665AB">
      <w:pPr>
        <w:shd w:val="clear" w:color="auto" w:fill="FFFFFF"/>
        <w:spacing w:after="0" w:line="435" w:lineRule="atLeast"/>
        <w:jc w:val="center"/>
        <w:outlineLvl w:val="2"/>
        <w:rPr>
          <w:rFonts w:ascii="Times New Roman" w:hAnsi="Times New Roman" w:cs="Times New Roman"/>
          <w:sz w:val="32"/>
          <w:szCs w:val="32"/>
          <w:lang w:val="uk-UA" w:eastAsia="ru-RU"/>
        </w:rPr>
      </w:pPr>
    </w:p>
    <w:p w:rsidR="00023DCA" w:rsidRPr="00C67276" w:rsidRDefault="00023DCA" w:rsidP="00C67276">
      <w:pPr>
        <w:shd w:val="clear" w:color="auto" w:fill="FFFFFF"/>
        <w:spacing w:after="0" w:line="240" w:lineRule="auto"/>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w:t>
      </w:r>
      <w:r>
        <w:rPr>
          <w:rFonts w:ascii="Times New Roman" w:hAnsi="Times New Roman" w:cs="Times New Roman"/>
          <w:sz w:val="24"/>
          <w:szCs w:val="24"/>
          <w:lang w:val="uk-UA" w:eastAsia="ru-RU"/>
        </w:rPr>
        <w:tab/>
      </w:r>
      <w:r w:rsidRPr="00C67276">
        <w:rPr>
          <w:rFonts w:ascii="Times New Roman" w:hAnsi="Times New Roman" w:cs="Times New Roman"/>
          <w:sz w:val="24"/>
          <w:szCs w:val="24"/>
          <w:lang w:val="uk-UA" w:eastAsia="ru-RU"/>
        </w:rPr>
        <w:t>Для відстеження результативності регуляторного акта буде використовуватись метод збору даних департаменту економіки шляхом моніторингу кількості укладених договорів оренди комунального майна та розміру надходжень від оренди до місцевого бюджету.</w:t>
      </w:r>
    </w:p>
    <w:p w:rsidR="00023DCA" w:rsidRPr="00C67276" w:rsidRDefault="00023DCA" w:rsidP="003F73C7">
      <w:pPr>
        <w:widowControl w:val="0"/>
        <w:spacing w:after="0" w:line="240" w:lineRule="auto"/>
        <w:ind w:firstLine="708"/>
        <w:jc w:val="both"/>
        <w:rPr>
          <w:rFonts w:ascii="Times New Roman" w:hAnsi="Times New Roman" w:cs="Times New Roman"/>
          <w:sz w:val="24"/>
          <w:szCs w:val="24"/>
          <w:lang w:val="uk-UA" w:eastAsia="ru-RU"/>
        </w:rPr>
      </w:pPr>
    </w:p>
    <w:p w:rsidR="00023DCA" w:rsidRPr="00C67276" w:rsidRDefault="00023DCA" w:rsidP="003F73C7">
      <w:pPr>
        <w:spacing w:after="0" w:line="240" w:lineRule="auto"/>
        <w:ind w:firstLine="708"/>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Базове відстеження результативності регуляторного акта здійснюється до набрання його чинності.</w:t>
      </w:r>
    </w:p>
    <w:p w:rsidR="00023DCA" w:rsidRPr="00C67276" w:rsidRDefault="00023DCA" w:rsidP="003F73C7">
      <w:pPr>
        <w:widowControl w:val="0"/>
        <w:spacing w:after="0" w:line="240" w:lineRule="auto"/>
        <w:ind w:firstLine="708"/>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 xml:space="preserve">Повторне відстеження буде здійснюватися через рік після набрання ним чинності. У разі виявлення неврегульованих та проблемних моментів шляхом аналізу якісних та кількісних показників дії цього акта, ці моменти буде виправлено шляхом внесення відповідних змін. </w:t>
      </w:r>
    </w:p>
    <w:p w:rsidR="00023DCA" w:rsidRPr="00C67276" w:rsidRDefault="00023DCA" w:rsidP="003F73C7">
      <w:pPr>
        <w:spacing w:after="0" w:line="240" w:lineRule="auto"/>
        <w:ind w:firstLine="708"/>
        <w:jc w:val="both"/>
        <w:rPr>
          <w:rFonts w:ascii="Times New Roman" w:hAnsi="Times New Roman" w:cs="Times New Roman"/>
          <w:sz w:val="24"/>
          <w:szCs w:val="24"/>
          <w:lang w:val="uk-UA" w:eastAsia="ru-RU"/>
        </w:rPr>
      </w:pPr>
      <w:r w:rsidRPr="00C67276">
        <w:rPr>
          <w:rFonts w:ascii="Times New Roman" w:hAnsi="Times New Roman" w:cs="Times New Roman"/>
          <w:sz w:val="24"/>
          <w:szCs w:val="24"/>
          <w:lang w:val="uk-UA" w:eastAsia="ru-RU"/>
        </w:rPr>
        <w:t>Періодичні відстеження результативності будуть здійснюватись раз на кожні три роки, починаючи від дня закінчення заходів з повторного відстеження результативності.</w:t>
      </w:r>
    </w:p>
    <w:p w:rsidR="00023DCA" w:rsidRPr="00C67276" w:rsidRDefault="00023DCA" w:rsidP="00B71CFC">
      <w:pPr>
        <w:shd w:val="clear" w:color="auto" w:fill="FFFFFF"/>
        <w:spacing w:before="100" w:beforeAutospacing="1" w:after="100" w:afterAutospacing="1"/>
        <w:ind w:firstLine="360"/>
        <w:jc w:val="both"/>
        <w:rPr>
          <w:rFonts w:ascii="Times New Roman" w:hAnsi="Times New Roman" w:cs="Times New Roman"/>
          <w:b/>
          <w:bCs/>
          <w:color w:val="000000"/>
          <w:sz w:val="24"/>
          <w:szCs w:val="24"/>
          <w:lang w:val="uk-UA"/>
        </w:rPr>
      </w:pPr>
      <w:r w:rsidRPr="00C67276">
        <w:rPr>
          <w:rFonts w:ascii="Times New Roman" w:hAnsi="Times New Roman" w:cs="Times New Roman"/>
          <w:b/>
          <w:sz w:val="24"/>
          <w:szCs w:val="24"/>
          <w:lang w:val="uk-UA"/>
        </w:rPr>
        <w:t xml:space="preserve">Зауваження та пропозиції від фізичних та юридичних осіб до цього проекту рішення можна надсилати до </w:t>
      </w:r>
      <w:r>
        <w:rPr>
          <w:rFonts w:ascii="Times New Roman" w:hAnsi="Times New Roman" w:cs="Times New Roman"/>
          <w:b/>
          <w:sz w:val="24"/>
          <w:szCs w:val="24"/>
          <w:lang w:val="uk-UA"/>
        </w:rPr>
        <w:t>25.01</w:t>
      </w:r>
      <w:r w:rsidRPr="00C67276">
        <w:rPr>
          <w:rFonts w:ascii="Times New Roman" w:hAnsi="Times New Roman" w:cs="Times New Roman"/>
          <w:b/>
          <w:sz w:val="24"/>
          <w:szCs w:val="24"/>
          <w:lang w:val="uk-UA"/>
        </w:rPr>
        <w:t>.201</w:t>
      </w:r>
      <w:r>
        <w:rPr>
          <w:rFonts w:ascii="Times New Roman" w:hAnsi="Times New Roman" w:cs="Times New Roman"/>
          <w:b/>
          <w:sz w:val="24"/>
          <w:szCs w:val="24"/>
          <w:lang w:val="uk-UA"/>
        </w:rPr>
        <w:t>9</w:t>
      </w:r>
      <w:r w:rsidRPr="00C67276">
        <w:rPr>
          <w:rFonts w:ascii="Times New Roman" w:hAnsi="Times New Roman" w:cs="Times New Roman"/>
          <w:b/>
          <w:sz w:val="24"/>
          <w:szCs w:val="24"/>
          <w:lang w:val="uk-UA"/>
        </w:rPr>
        <w:t xml:space="preserve">р. Поштова та електронна адреса розробника проекту регуляторного акту, до якого надсилаються зауваження та пропозиції: Департамент економіки Чернівецької міської ради, вул. О.Кобилянської, 3, м. Чернівці, 58000; </w:t>
      </w:r>
      <w:r>
        <w:rPr>
          <w:rFonts w:ascii="Times New Roman" w:hAnsi="Times New Roman" w:cs="Times New Roman"/>
          <w:b/>
          <w:sz w:val="24"/>
          <w:szCs w:val="24"/>
          <w:lang w:val="uk-UA"/>
        </w:rPr>
        <w:t xml:space="preserve">            </w:t>
      </w:r>
      <w:r w:rsidRPr="00C67276">
        <w:rPr>
          <w:rFonts w:ascii="Times New Roman" w:hAnsi="Times New Roman" w:cs="Times New Roman"/>
          <w:b/>
          <w:sz w:val="24"/>
          <w:szCs w:val="24"/>
          <w:lang w:val="uk-UA"/>
        </w:rPr>
        <w:t xml:space="preserve">тел. 52-48-70, 52-63-17; e-mail: </w:t>
      </w:r>
      <w:hyperlink r:id="rId12" w:history="1">
        <w:r w:rsidRPr="00C67276">
          <w:rPr>
            <w:rStyle w:val="ad"/>
            <w:rFonts w:ascii="Times New Roman" w:hAnsi="Times New Roman"/>
            <w:b/>
            <w:sz w:val="24"/>
            <w:szCs w:val="24"/>
            <w:lang w:val="uk-UA"/>
          </w:rPr>
          <w:t>orenda1.de@rada.cv.ua</w:t>
        </w:r>
      </w:hyperlink>
      <w:r w:rsidRPr="00C67276">
        <w:rPr>
          <w:rFonts w:ascii="Times New Roman" w:hAnsi="Times New Roman" w:cs="Times New Roman"/>
          <w:b/>
          <w:sz w:val="24"/>
          <w:szCs w:val="24"/>
          <w:lang w:val="uk-UA"/>
        </w:rPr>
        <w:t xml:space="preserve">; </w:t>
      </w:r>
      <w:r w:rsidRPr="00C67276">
        <w:rPr>
          <w:rFonts w:ascii="Times New Roman" w:hAnsi="Times New Roman" w:cs="Times New Roman"/>
          <w:b/>
          <w:bCs/>
          <w:color w:val="000000"/>
          <w:sz w:val="24"/>
          <w:szCs w:val="24"/>
          <w:lang w:val="uk-UA"/>
        </w:rPr>
        <w:t>orenda_de.cv@ukr.net.</w:t>
      </w:r>
    </w:p>
    <w:p w:rsidR="00023DCA" w:rsidRPr="00C67276" w:rsidRDefault="00023DCA" w:rsidP="003F73C7">
      <w:pPr>
        <w:pStyle w:val="a6"/>
        <w:ind w:firstLine="720"/>
        <w:rPr>
          <w:sz w:val="24"/>
          <w:szCs w:val="24"/>
        </w:rPr>
      </w:pPr>
    </w:p>
    <w:p w:rsidR="00023DCA" w:rsidRPr="00C67276" w:rsidRDefault="00023DCA" w:rsidP="00B665AB">
      <w:pPr>
        <w:shd w:val="clear" w:color="auto" w:fill="FFFFFF"/>
        <w:spacing w:after="0" w:line="360" w:lineRule="atLeast"/>
        <w:jc w:val="both"/>
        <w:rPr>
          <w:rFonts w:ascii="Times New Roman" w:hAnsi="Times New Roman" w:cs="Times New Roman"/>
          <w:sz w:val="24"/>
          <w:szCs w:val="24"/>
          <w:lang w:val="uk-UA" w:eastAsia="ru-RU"/>
        </w:rPr>
      </w:pPr>
    </w:p>
    <w:p w:rsidR="00023DCA" w:rsidRPr="00C67276" w:rsidRDefault="00023DCA" w:rsidP="0000470D">
      <w:pPr>
        <w:pStyle w:val="a6"/>
        <w:ind w:firstLine="720"/>
      </w:pPr>
    </w:p>
    <w:sectPr w:rsidR="00023DCA" w:rsidRPr="00C67276" w:rsidSect="00906228">
      <w:headerReference w:type="default" r:id="rId13"/>
      <w:pgSz w:w="11906" w:h="16838"/>
      <w:pgMar w:top="709" w:right="850" w:bottom="28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E0E" w:rsidRDefault="00033E0E" w:rsidP="00906228">
      <w:pPr>
        <w:spacing w:after="0" w:line="240" w:lineRule="auto"/>
      </w:pPr>
      <w:r>
        <w:separator/>
      </w:r>
    </w:p>
  </w:endnote>
  <w:endnote w:type="continuationSeparator" w:id="0">
    <w:p w:rsidR="00033E0E" w:rsidRDefault="00033E0E" w:rsidP="00906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E0E" w:rsidRDefault="00033E0E" w:rsidP="00906228">
      <w:pPr>
        <w:spacing w:after="0" w:line="240" w:lineRule="auto"/>
      </w:pPr>
      <w:r>
        <w:separator/>
      </w:r>
    </w:p>
  </w:footnote>
  <w:footnote w:type="continuationSeparator" w:id="0">
    <w:p w:rsidR="00033E0E" w:rsidRDefault="00033E0E" w:rsidP="00906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DCA" w:rsidRDefault="00033E0E">
    <w:pPr>
      <w:pStyle w:val="a9"/>
      <w:jc w:val="center"/>
    </w:pPr>
    <w:r>
      <w:fldChar w:fldCharType="begin"/>
    </w:r>
    <w:r>
      <w:instrText xml:space="preserve"> PAGE   \* MERGEFORMAT </w:instrText>
    </w:r>
    <w:r>
      <w:fldChar w:fldCharType="separate"/>
    </w:r>
    <w:r w:rsidR="00527645">
      <w:rPr>
        <w:noProof/>
      </w:rPr>
      <w:t>2</w:t>
    </w:r>
    <w:r>
      <w:rPr>
        <w:noProof/>
      </w:rPr>
      <w:fldChar w:fldCharType="end"/>
    </w:r>
  </w:p>
  <w:p w:rsidR="00023DCA" w:rsidRDefault="00023DCA">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7F1B"/>
    <w:multiLevelType w:val="hybridMultilevel"/>
    <w:tmpl w:val="17E62E18"/>
    <w:lvl w:ilvl="0" w:tplc="0419000B">
      <w:start w:val="1"/>
      <w:numFmt w:val="bullet"/>
      <w:lvlText w:val=""/>
      <w:lvlJc w:val="left"/>
      <w:pPr>
        <w:tabs>
          <w:tab w:val="num" w:pos="1980"/>
        </w:tabs>
        <w:ind w:left="198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B9485F"/>
    <w:multiLevelType w:val="hybridMultilevel"/>
    <w:tmpl w:val="5D8A011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8BD"/>
    <w:rsid w:val="0000470D"/>
    <w:rsid w:val="000074AE"/>
    <w:rsid w:val="000130CB"/>
    <w:rsid w:val="00023DCA"/>
    <w:rsid w:val="00033E0E"/>
    <w:rsid w:val="00046603"/>
    <w:rsid w:val="000758D9"/>
    <w:rsid w:val="000B1576"/>
    <w:rsid w:val="000B2613"/>
    <w:rsid w:val="000D5A55"/>
    <w:rsid w:val="000D78BD"/>
    <w:rsid w:val="00133BAF"/>
    <w:rsid w:val="001726E1"/>
    <w:rsid w:val="0017300B"/>
    <w:rsid w:val="001A59E7"/>
    <w:rsid w:val="00230A30"/>
    <w:rsid w:val="002760A5"/>
    <w:rsid w:val="00344FAF"/>
    <w:rsid w:val="003A4C12"/>
    <w:rsid w:val="003E0BA3"/>
    <w:rsid w:val="003F73C7"/>
    <w:rsid w:val="004058DD"/>
    <w:rsid w:val="00411E0A"/>
    <w:rsid w:val="004B2E21"/>
    <w:rsid w:val="00527645"/>
    <w:rsid w:val="00543B0B"/>
    <w:rsid w:val="005559E0"/>
    <w:rsid w:val="00560363"/>
    <w:rsid w:val="005766A2"/>
    <w:rsid w:val="005879EC"/>
    <w:rsid w:val="005914E1"/>
    <w:rsid w:val="005A2233"/>
    <w:rsid w:val="005C0416"/>
    <w:rsid w:val="006113F1"/>
    <w:rsid w:val="00645723"/>
    <w:rsid w:val="0066129F"/>
    <w:rsid w:val="006A3EF8"/>
    <w:rsid w:val="006C770A"/>
    <w:rsid w:val="007019A5"/>
    <w:rsid w:val="00754603"/>
    <w:rsid w:val="00854CC7"/>
    <w:rsid w:val="00856D77"/>
    <w:rsid w:val="00860B68"/>
    <w:rsid w:val="0086419C"/>
    <w:rsid w:val="00870131"/>
    <w:rsid w:val="00896E82"/>
    <w:rsid w:val="008E7C80"/>
    <w:rsid w:val="00906228"/>
    <w:rsid w:val="00955C21"/>
    <w:rsid w:val="00A0725B"/>
    <w:rsid w:val="00A34001"/>
    <w:rsid w:val="00A401E6"/>
    <w:rsid w:val="00A73273"/>
    <w:rsid w:val="00A80484"/>
    <w:rsid w:val="00AB5E76"/>
    <w:rsid w:val="00AB7F7A"/>
    <w:rsid w:val="00B52F43"/>
    <w:rsid w:val="00B665AB"/>
    <w:rsid w:val="00B71CFC"/>
    <w:rsid w:val="00B842E9"/>
    <w:rsid w:val="00B92FCE"/>
    <w:rsid w:val="00B97CDB"/>
    <w:rsid w:val="00BD0137"/>
    <w:rsid w:val="00BE0035"/>
    <w:rsid w:val="00BE3C6A"/>
    <w:rsid w:val="00C20D6C"/>
    <w:rsid w:val="00C27EC4"/>
    <w:rsid w:val="00C67276"/>
    <w:rsid w:val="00CD7D48"/>
    <w:rsid w:val="00D91164"/>
    <w:rsid w:val="00E32ED8"/>
    <w:rsid w:val="00E34708"/>
    <w:rsid w:val="00E55E8C"/>
    <w:rsid w:val="00E61D0C"/>
    <w:rsid w:val="00E74381"/>
    <w:rsid w:val="00E760A0"/>
    <w:rsid w:val="00EA75C2"/>
    <w:rsid w:val="00F75EC7"/>
    <w:rsid w:val="00F84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F9239B-91A3-41E0-A1D7-3144AE3D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8BD"/>
    <w:pPr>
      <w:spacing w:after="200" w:line="276" w:lineRule="auto"/>
    </w:pPr>
    <w:rPr>
      <w:rFonts w:ascii="Calibri" w:eastAsia="Times New Roman" w:hAnsi="Calibri" w:cs="Calibri"/>
      <w:lang w:eastAsia="en-US"/>
    </w:rPr>
  </w:style>
  <w:style w:type="paragraph" w:styleId="1">
    <w:name w:val="heading 1"/>
    <w:basedOn w:val="a"/>
    <w:next w:val="a"/>
    <w:link w:val="10"/>
    <w:uiPriority w:val="99"/>
    <w:qFormat/>
    <w:rsid w:val="000D78BD"/>
    <w:pPr>
      <w:keepNext/>
      <w:widowControl w:val="0"/>
      <w:shd w:val="clear" w:color="auto" w:fill="FFFFFF"/>
      <w:autoSpaceDE w:val="0"/>
      <w:autoSpaceDN w:val="0"/>
      <w:adjustRightInd w:val="0"/>
      <w:spacing w:after="0" w:line="240" w:lineRule="auto"/>
      <w:ind w:left="1536"/>
      <w:outlineLvl w:val="0"/>
    </w:pPr>
    <w:rPr>
      <w:rFonts w:ascii="Times New Roman" w:eastAsia="Calibri" w:hAnsi="Times New Roman" w:cs="Times New Roman"/>
      <w:b/>
      <w:bCs/>
      <w:color w:val="000000"/>
      <w:spacing w:val="-6"/>
      <w:sz w:val="24"/>
      <w:szCs w:val="24"/>
      <w:lang w:val="uk-UA" w:eastAsia="ru-RU"/>
    </w:rPr>
  </w:style>
  <w:style w:type="paragraph" w:styleId="2">
    <w:name w:val="heading 2"/>
    <w:basedOn w:val="a"/>
    <w:next w:val="a"/>
    <w:link w:val="20"/>
    <w:uiPriority w:val="99"/>
    <w:qFormat/>
    <w:rsid w:val="000D78BD"/>
    <w:pPr>
      <w:keepNext/>
      <w:widowControl w:val="0"/>
      <w:shd w:val="clear" w:color="auto" w:fill="FFFFFF"/>
      <w:autoSpaceDE w:val="0"/>
      <w:autoSpaceDN w:val="0"/>
      <w:adjustRightInd w:val="0"/>
      <w:spacing w:before="403" w:after="0" w:line="240" w:lineRule="auto"/>
      <w:ind w:left="538"/>
      <w:outlineLvl w:val="1"/>
    </w:pPr>
    <w:rPr>
      <w:rFonts w:ascii="Times New Roman" w:eastAsia="Calibri" w:hAnsi="Times New Roman" w:cs="Times New Roman"/>
      <w:b/>
      <w:bCs/>
      <w:color w:val="000000"/>
      <w:spacing w:val="1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D78BD"/>
    <w:rPr>
      <w:rFonts w:eastAsia="Times New Roman" w:cs="Times New Roman"/>
      <w:b/>
      <w:bCs/>
      <w:color w:val="000000"/>
      <w:spacing w:val="-6"/>
      <w:sz w:val="24"/>
      <w:szCs w:val="24"/>
      <w:shd w:val="clear" w:color="auto" w:fill="FFFFFF"/>
      <w:lang w:eastAsia="ru-RU"/>
    </w:rPr>
  </w:style>
  <w:style w:type="character" w:customStyle="1" w:styleId="20">
    <w:name w:val="Заголовок 2 Знак"/>
    <w:basedOn w:val="a0"/>
    <w:link w:val="2"/>
    <w:uiPriority w:val="99"/>
    <w:semiHidden/>
    <w:locked/>
    <w:rsid w:val="000D78BD"/>
    <w:rPr>
      <w:rFonts w:eastAsia="Times New Roman" w:cs="Times New Roman"/>
      <w:b/>
      <w:bCs/>
      <w:color w:val="000000"/>
      <w:spacing w:val="10"/>
      <w:sz w:val="24"/>
      <w:szCs w:val="24"/>
      <w:shd w:val="clear" w:color="auto" w:fill="FFFFFF"/>
      <w:lang w:eastAsia="ru-RU"/>
    </w:rPr>
  </w:style>
  <w:style w:type="character" w:styleId="a3">
    <w:name w:val="line number"/>
    <w:basedOn w:val="a0"/>
    <w:uiPriority w:val="99"/>
    <w:semiHidden/>
    <w:rsid w:val="00870131"/>
    <w:rPr>
      <w:rFonts w:cs="Times New Roman"/>
    </w:rPr>
  </w:style>
  <w:style w:type="paragraph" w:customStyle="1" w:styleId="11">
    <w:name w:val="Абзац списка1"/>
    <w:basedOn w:val="a"/>
    <w:uiPriority w:val="99"/>
    <w:rsid w:val="000D78BD"/>
    <w:pPr>
      <w:ind w:left="720"/>
    </w:pPr>
  </w:style>
  <w:style w:type="paragraph" w:styleId="a4">
    <w:name w:val="Normal (Web)"/>
    <w:basedOn w:val="a"/>
    <w:uiPriority w:val="99"/>
    <w:rsid w:val="000D78BD"/>
    <w:pPr>
      <w:spacing w:after="0" w:line="240" w:lineRule="auto"/>
    </w:pPr>
    <w:rPr>
      <w:rFonts w:ascii="Times New Roman" w:eastAsia="Calibri" w:hAnsi="Times New Roman" w:cs="Times New Roman"/>
      <w:color w:val="000000"/>
      <w:sz w:val="24"/>
      <w:szCs w:val="24"/>
      <w:lang w:eastAsia="ru-RU"/>
    </w:rPr>
  </w:style>
  <w:style w:type="character" w:styleId="a5">
    <w:name w:val="Strong"/>
    <w:basedOn w:val="a0"/>
    <w:uiPriority w:val="99"/>
    <w:qFormat/>
    <w:rsid w:val="000D78BD"/>
    <w:rPr>
      <w:rFonts w:cs="Times New Roman"/>
      <w:b/>
      <w:bCs/>
    </w:rPr>
  </w:style>
  <w:style w:type="paragraph" w:styleId="a6">
    <w:name w:val="Body Text"/>
    <w:basedOn w:val="a"/>
    <w:link w:val="a7"/>
    <w:uiPriority w:val="99"/>
    <w:rsid w:val="000D78BD"/>
    <w:pPr>
      <w:spacing w:after="0" w:line="240" w:lineRule="auto"/>
      <w:jc w:val="both"/>
    </w:pPr>
    <w:rPr>
      <w:rFonts w:ascii="Times New Roman" w:eastAsia="Calibri" w:hAnsi="Times New Roman" w:cs="Times New Roman"/>
      <w:sz w:val="28"/>
      <w:szCs w:val="28"/>
      <w:lang w:val="uk-UA" w:eastAsia="ru-RU"/>
    </w:rPr>
  </w:style>
  <w:style w:type="character" w:customStyle="1" w:styleId="a7">
    <w:name w:val="Основной текст Знак"/>
    <w:basedOn w:val="a0"/>
    <w:link w:val="a6"/>
    <w:uiPriority w:val="99"/>
    <w:locked/>
    <w:rsid w:val="000D78BD"/>
    <w:rPr>
      <w:rFonts w:eastAsia="Times New Roman" w:cs="Times New Roman"/>
      <w:sz w:val="24"/>
      <w:szCs w:val="24"/>
      <w:lang w:eastAsia="ru-RU"/>
    </w:rPr>
  </w:style>
  <w:style w:type="paragraph" w:customStyle="1" w:styleId="rvps2">
    <w:name w:val="rvps2"/>
    <w:basedOn w:val="a"/>
    <w:uiPriority w:val="99"/>
    <w:rsid w:val="003F73C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rvps12">
    <w:name w:val="rvps12"/>
    <w:basedOn w:val="a"/>
    <w:uiPriority w:val="99"/>
    <w:rsid w:val="003F73C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rvps14">
    <w:name w:val="rvps14"/>
    <w:basedOn w:val="a"/>
    <w:uiPriority w:val="99"/>
    <w:rsid w:val="003F73C7"/>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8">
    <w:name w:val="Emphasis"/>
    <w:basedOn w:val="a0"/>
    <w:uiPriority w:val="99"/>
    <w:qFormat/>
    <w:rsid w:val="003F73C7"/>
    <w:rPr>
      <w:rFonts w:cs="Times New Roman"/>
      <w:i/>
      <w:iCs/>
    </w:rPr>
  </w:style>
  <w:style w:type="paragraph" w:customStyle="1" w:styleId="rvps3">
    <w:name w:val="rvps3"/>
    <w:basedOn w:val="a"/>
    <w:uiPriority w:val="99"/>
    <w:rsid w:val="003F73C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rvps8">
    <w:name w:val="rvps8"/>
    <w:basedOn w:val="a"/>
    <w:uiPriority w:val="99"/>
    <w:rsid w:val="003F73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9">
    <w:name w:val="header"/>
    <w:basedOn w:val="a"/>
    <w:link w:val="aa"/>
    <w:uiPriority w:val="99"/>
    <w:rsid w:val="00906228"/>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906228"/>
    <w:rPr>
      <w:rFonts w:ascii="Calibri" w:hAnsi="Calibri" w:cs="Calibri"/>
      <w:sz w:val="22"/>
      <w:szCs w:val="22"/>
      <w:lang w:val="ru-RU"/>
    </w:rPr>
  </w:style>
  <w:style w:type="paragraph" w:styleId="ab">
    <w:name w:val="footer"/>
    <w:basedOn w:val="a"/>
    <w:link w:val="ac"/>
    <w:uiPriority w:val="99"/>
    <w:semiHidden/>
    <w:rsid w:val="0090622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906228"/>
    <w:rPr>
      <w:rFonts w:ascii="Calibri" w:hAnsi="Calibri" w:cs="Calibri"/>
      <w:sz w:val="22"/>
      <w:szCs w:val="22"/>
      <w:lang w:val="ru-RU"/>
    </w:rPr>
  </w:style>
  <w:style w:type="character" w:styleId="ad">
    <w:name w:val="Hyperlink"/>
    <w:basedOn w:val="a0"/>
    <w:uiPriority w:val="99"/>
    <w:rsid w:val="00B71CF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021821">
      <w:marLeft w:val="0"/>
      <w:marRight w:val="0"/>
      <w:marTop w:val="0"/>
      <w:marBottom w:val="0"/>
      <w:divBdr>
        <w:top w:val="none" w:sz="0" w:space="0" w:color="auto"/>
        <w:left w:val="none" w:sz="0" w:space="0" w:color="auto"/>
        <w:bottom w:val="none" w:sz="0" w:space="0" w:color="auto"/>
        <w:right w:val="none" w:sz="0" w:space="0" w:color="auto"/>
      </w:divBdr>
    </w:div>
    <w:div w:id="344021822">
      <w:marLeft w:val="0"/>
      <w:marRight w:val="0"/>
      <w:marTop w:val="0"/>
      <w:marBottom w:val="0"/>
      <w:divBdr>
        <w:top w:val="none" w:sz="0" w:space="0" w:color="auto"/>
        <w:left w:val="none" w:sz="0" w:space="0" w:color="auto"/>
        <w:bottom w:val="none" w:sz="0" w:space="0" w:color="auto"/>
        <w:right w:val="none" w:sz="0" w:space="0" w:color="auto"/>
      </w:divBdr>
    </w:div>
    <w:div w:id="344021823">
      <w:marLeft w:val="0"/>
      <w:marRight w:val="0"/>
      <w:marTop w:val="0"/>
      <w:marBottom w:val="0"/>
      <w:divBdr>
        <w:top w:val="none" w:sz="0" w:space="0" w:color="auto"/>
        <w:left w:val="none" w:sz="0" w:space="0" w:color="auto"/>
        <w:bottom w:val="none" w:sz="0" w:space="0" w:color="auto"/>
        <w:right w:val="none" w:sz="0" w:space="0" w:color="auto"/>
      </w:divBdr>
    </w:div>
    <w:div w:id="344021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226900.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arch.ligazakon.ua/l_doc2.nsf/link1/T226900.html" TargetMode="External"/><Relationship Id="rId12" Type="http://schemas.openxmlformats.org/officeDocument/2006/relationships/hyperlink" Target="mailto:orenda1.de@rada.c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T226900.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rch.ligazakon.ua/l_doc2.nsf/link1/T226900.html" TargetMode="External"/><Relationship Id="rId4" Type="http://schemas.openxmlformats.org/officeDocument/2006/relationships/webSettings" Target="webSettings.xml"/><Relationship Id="rId9" Type="http://schemas.openxmlformats.org/officeDocument/2006/relationships/hyperlink" Target="http://search.ligazakon.ua/l_doc2.nsf/link1/T226900.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3530</Words>
  <Characters>20126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АНАЛІЗ РЕГУЛЯТОРНОГО ВПЛИВУ</vt:lpstr>
    </vt:vector>
  </TitlesOfParts>
  <Company>SPecialiST RePack</Company>
  <LinksUpToDate>false</LinksUpToDate>
  <CharactersWithSpaces>23609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dc:title>
  <dc:subject/>
  <dc:creator>admin</dc:creator>
  <cp:keywords/>
  <dc:description/>
  <cp:lastModifiedBy>Kompvid2</cp:lastModifiedBy>
  <cp:revision>2</cp:revision>
  <cp:lastPrinted>2016-10-28T09:54:00Z</cp:lastPrinted>
  <dcterms:created xsi:type="dcterms:W3CDTF">2018-12-29T10:38:00Z</dcterms:created>
  <dcterms:modified xsi:type="dcterms:W3CDTF">2018-12-29T10:38:00Z</dcterms:modified>
</cp:coreProperties>
</file>