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4E3" w:rsidRPr="00076D98" w:rsidRDefault="006124E3" w:rsidP="00372B97">
      <w:pPr>
        <w:pStyle w:val="3"/>
        <w:spacing w:before="0" w:beforeAutospacing="0" w:after="0" w:afterAutospacing="0"/>
        <w:jc w:val="center"/>
        <w:rPr>
          <w:rFonts w:eastAsia="Times New Roman"/>
          <w:sz w:val="28"/>
          <w:szCs w:val="28"/>
          <w:lang w:val="uk-UA"/>
        </w:rPr>
      </w:pPr>
      <w:bookmarkStart w:id="0" w:name="_GoBack"/>
      <w:bookmarkEnd w:id="0"/>
      <w:r w:rsidRPr="00076D98">
        <w:rPr>
          <w:rFonts w:eastAsia="Times New Roman"/>
          <w:sz w:val="28"/>
          <w:szCs w:val="28"/>
          <w:lang w:val="uk-UA"/>
        </w:rPr>
        <w:t>АНАЛІЗ РЕГУЛЯТОРНОГО ВПЛИВУ</w:t>
      </w:r>
    </w:p>
    <w:p w:rsidR="00372B97" w:rsidRPr="00076D98" w:rsidRDefault="00897EE0" w:rsidP="00076D98">
      <w:pPr>
        <w:pStyle w:val="11"/>
        <w:widowControl/>
        <w:jc w:val="center"/>
        <w:rPr>
          <w:b/>
          <w:color w:val="FF0000"/>
          <w:sz w:val="28"/>
          <w:szCs w:val="28"/>
        </w:rPr>
      </w:pPr>
      <w:r w:rsidRPr="00076D98">
        <w:rPr>
          <w:b/>
          <w:sz w:val="28"/>
          <w:szCs w:val="28"/>
        </w:rPr>
        <w:t xml:space="preserve">до проекту </w:t>
      </w:r>
      <w:r w:rsidR="00A9716D" w:rsidRPr="00076D98">
        <w:rPr>
          <w:b/>
          <w:sz w:val="28"/>
          <w:szCs w:val="28"/>
        </w:rPr>
        <w:t xml:space="preserve">рішення </w:t>
      </w:r>
      <w:r w:rsidR="007D6814" w:rsidRPr="00076D98">
        <w:rPr>
          <w:b/>
          <w:sz w:val="28"/>
          <w:szCs w:val="28"/>
        </w:rPr>
        <w:t>Чернівець</w:t>
      </w:r>
      <w:r w:rsidR="00A9716D" w:rsidRPr="00076D98">
        <w:rPr>
          <w:b/>
          <w:sz w:val="28"/>
          <w:szCs w:val="28"/>
        </w:rPr>
        <w:t xml:space="preserve">кої міської ради </w:t>
      </w:r>
      <w:r w:rsidR="00076D98">
        <w:rPr>
          <w:b/>
          <w:sz w:val="28"/>
          <w:szCs w:val="28"/>
        </w:rPr>
        <w:t>«</w:t>
      </w:r>
      <w:r w:rsidR="00076D98" w:rsidRPr="00076D98">
        <w:rPr>
          <w:b/>
          <w:sz w:val="28"/>
          <w:szCs w:val="28"/>
        </w:rPr>
        <w:t xml:space="preserve">Про організацію електронних торгів (аукціонів) на право користування торговельними місцями для встановлення пунктів продажу на території </w:t>
      </w:r>
      <w:r w:rsidR="00BD4A0C" w:rsidRPr="00BD4A0C">
        <w:rPr>
          <w:b/>
          <w:sz w:val="28"/>
          <w:szCs w:val="28"/>
        </w:rPr>
        <w:t xml:space="preserve">                                   </w:t>
      </w:r>
      <w:r w:rsidR="00076D98" w:rsidRPr="00076D98">
        <w:rPr>
          <w:b/>
          <w:sz w:val="28"/>
          <w:szCs w:val="28"/>
        </w:rPr>
        <w:t>КП МТК «Калинівський ринок» з використанням електронної торгової системи ProZorro.Продажі і визнання таким, що втратило чинність рішення Чернівецької міської ради від 11.04.2016 року №167</w:t>
      </w:r>
    </w:p>
    <w:p w:rsidR="00076D98" w:rsidRDefault="00076D98" w:rsidP="00372B97">
      <w:pPr>
        <w:pStyle w:val="3"/>
        <w:spacing w:before="0" w:beforeAutospacing="0" w:after="0" w:afterAutospacing="0"/>
        <w:jc w:val="center"/>
        <w:rPr>
          <w:rFonts w:eastAsia="Times New Roman"/>
          <w:i/>
          <w:color w:val="FF0000"/>
          <w:sz w:val="28"/>
          <w:szCs w:val="28"/>
          <w:lang w:val="uk-UA"/>
        </w:rPr>
      </w:pPr>
    </w:p>
    <w:p w:rsidR="006124E3" w:rsidRPr="00C81759" w:rsidRDefault="006124E3" w:rsidP="00372B97">
      <w:pPr>
        <w:pStyle w:val="3"/>
        <w:spacing w:before="0" w:beforeAutospacing="0" w:after="0" w:afterAutospacing="0"/>
        <w:jc w:val="center"/>
        <w:rPr>
          <w:rFonts w:eastAsia="Times New Roman"/>
          <w:i/>
          <w:sz w:val="28"/>
          <w:szCs w:val="28"/>
          <w:lang w:val="uk-UA"/>
        </w:rPr>
      </w:pPr>
      <w:r w:rsidRPr="00C81759">
        <w:rPr>
          <w:rFonts w:eastAsia="Times New Roman"/>
          <w:i/>
          <w:sz w:val="28"/>
          <w:szCs w:val="28"/>
          <w:lang w:val="uk-UA"/>
        </w:rPr>
        <w:t>I. Визначення проблеми</w:t>
      </w:r>
    </w:p>
    <w:p w:rsidR="009A43E7" w:rsidRPr="00C81759" w:rsidRDefault="009A43E7" w:rsidP="002F1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val="uk-UA"/>
        </w:rPr>
      </w:pPr>
    </w:p>
    <w:p w:rsidR="00B96FB1" w:rsidRDefault="00C855F5" w:rsidP="0047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855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сьогоднішній день </w:t>
      </w:r>
      <w:r w:rsidR="00BD4A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порядок </w:t>
      </w:r>
      <w:r w:rsidR="00B40B64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передач</w:t>
      </w:r>
      <w:r w:rsidR="00BD4A0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B40B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новостворених торговельних місць суб’єктам господарювання різних форм власності для встановлення пунктів продажу на території комунального підприємства «Міський торговельний комплекс «Калинівський ринок» </w:t>
      </w:r>
      <w:r w:rsidR="00B10F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м.Чернівцях </w:t>
      </w:r>
      <w:r w:rsidR="00B40B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регулюється Положенням про порядок проведення конкурсу з відведення новостворених торговельних місць для встановлення пунктів продажу на території </w:t>
      </w:r>
      <w:r w:rsidR="00BD4A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B40B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 МТК «Калинівський ринок», затвердженим </w:t>
      </w:r>
      <w:r w:rsidR="00B10F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рішенням міської ради </w:t>
      </w:r>
      <w:r w:rsidR="00B10F66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B10F66" w:rsidRPr="00B10F66">
        <w:rPr>
          <w:rFonts w:ascii="Times New Roman" w:eastAsia="Times New Roman" w:hAnsi="Times New Roman" w:cs="Times New Roman"/>
          <w:sz w:val="28"/>
          <w:szCs w:val="28"/>
        </w:rPr>
        <w:t xml:space="preserve">ІІ скликання від 11.04.2016р. </w:t>
      </w:r>
      <w:r w:rsidR="00B10F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№167. Цим </w:t>
      </w:r>
      <w:r w:rsidR="007033FC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B10F66">
        <w:rPr>
          <w:rFonts w:ascii="Times New Roman" w:eastAsia="Times New Roman" w:hAnsi="Times New Roman" w:cs="Times New Roman"/>
          <w:sz w:val="28"/>
          <w:szCs w:val="28"/>
          <w:lang w:val="uk-UA"/>
        </w:rPr>
        <w:t>оложенням визначено, що відведення новостворених торговельних місць здійсню</w:t>
      </w:r>
      <w:r w:rsidR="009961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ється шляхом проведення </w:t>
      </w:r>
      <w:r w:rsidR="00C514C9">
        <w:rPr>
          <w:rFonts w:ascii="Times New Roman" w:eastAsia="Times New Roman" w:hAnsi="Times New Roman" w:cs="Times New Roman"/>
          <w:sz w:val="28"/>
          <w:szCs w:val="28"/>
          <w:lang w:val="uk-UA"/>
        </w:rPr>
        <w:t>конкурсу</w:t>
      </w:r>
      <w:r w:rsidR="007033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C5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організатором якого є конкурсна комісія</w:t>
      </w:r>
      <w:r w:rsidR="004B60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с</w:t>
      </w:r>
      <w:r w:rsidR="007B38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клад </w:t>
      </w:r>
      <w:r w:rsidR="004B605E">
        <w:rPr>
          <w:rFonts w:ascii="Times New Roman" w:eastAsia="Times New Roman" w:hAnsi="Times New Roman" w:cs="Times New Roman"/>
          <w:sz w:val="28"/>
          <w:szCs w:val="28"/>
          <w:lang w:val="uk-UA"/>
        </w:rPr>
        <w:t>якої</w:t>
      </w:r>
      <w:r w:rsidR="007B38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повинен бути затверджений рішенням міської ради</w:t>
      </w:r>
      <w:r w:rsidR="00C514C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7B3804">
        <w:rPr>
          <w:rFonts w:ascii="Times New Roman" w:eastAsia="Times New Roman" w:hAnsi="Times New Roman" w:cs="Times New Roman"/>
          <w:sz w:val="28"/>
          <w:szCs w:val="28"/>
          <w:lang w:val="uk-UA"/>
        </w:rPr>
        <w:t>Для участі у конкурсі претендент повинен подати на розгляд комісії визначений Положенням перелік документів</w:t>
      </w:r>
      <w:r w:rsidR="004B605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які </w:t>
      </w:r>
      <w:r w:rsidR="00D3697C">
        <w:rPr>
          <w:rFonts w:ascii="Times New Roman" w:eastAsia="Times New Roman" w:hAnsi="Times New Roman" w:cs="Times New Roman"/>
          <w:sz w:val="28"/>
          <w:szCs w:val="28"/>
          <w:lang w:val="uk-UA"/>
        </w:rPr>
        <w:t>повинні бути зареєстровані на підприємстві підрозділом, який здійснює реєстрацію вхідної кореспонденції. Конкурс проводиться у відкритому форматі за участю учасників конкурсу або їх повноважних осіб</w:t>
      </w:r>
      <w:r w:rsidR="00BD4AED">
        <w:rPr>
          <w:rFonts w:ascii="Times New Roman" w:eastAsia="Times New Roman" w:hAnsi="Times New Roman" w:cs="Times New Roman"/>
          <w:sz w:val="28"/>
          <w:szCs w:val="28"/>
          <w:lang w:val="uk-UA"/>
        </w:rPr>
        <w:t>, тобто у день проведення конкурсу його учасники або їх представники повинні знаходит</w:t>
      </w:r>
      <w:r w:rsidR="00895C05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BD4A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сь за місцем проведення конкурсу. </w:t>
      </w:r>
      <w:r w:rsidR="00B96FB1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приймається простою більшістю голосів від загального складу комісії</w:t>
      </w:r>
      <w:r w:rsidR="00446C45">
        <w:rPr>
          <w:rFonts w:ascii="Times New Roman" w:eastAsia="Times New Roman" w:hAnsi="Times New Roman" w:cs="Times New Roman"/>
          <w:sz w:val="28"/>
          <w:szCs w:val="28"/>
          <w:lang w:val="uk-UA"/>
        </w:rPr>
        <w:t>. Засідання конкурсної комісії може буде визнано неправомочним у разі участі у ньому недостатньої кількості її членів.</w:t>
      </w:r>
    </w:p>
    <w:p w:rsidR="00C81759" w:rsidRPr="00895C05" w:rsidRDefault="00C514C9" w:rsidP="0047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Така </w:t>
      </w:r>
      <w:r w:rsidR="00B96FB1">
        <w:rPr>
          <w:rFonts w:ascii="Times New Roman" w:eastAsia="Times New Roman" w:hAnsi="Times New Roman" w:cs="Times New Roman"/>
          <w:sz w:val="28"/>
          <w:szCs w:val="28"/>
          <w:lang w:val="uk-UA"/>
        </w:rPr>
        <w:t>модель проведення конкурсів і визначення</w:t>
      </w:r>
      <w:r w:rsidR="00895C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його</w:t>
      </w:r>
      <w:r w:rsidR="00B96F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переможців є застарілою. Подача суб’єктами господарювання документів на участь у конкурсі є тривалим процесом і вимагає від суб’єктів господарювання як вартісних, та</w:t>
      </w:r>
      <w:r w:rsidR="00BD4A0C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B96F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часових витрат. </w:t>
      </w:r>
      <w:r w:rsidR="00AB61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складу конкурсної комісії  рішенням міської ради </w:t>
      </w:r>
      <w:r w:rsidR="00446C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означає необхідність кожного разу приймати додатковий нормативний акт, що також збільшує тривалість процедури організації конкурсу. </w:t>
      </w:r>
      <w:r w:rsidR="00895C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Необхідність у безпосередній присутності членів конкурсної комісії під час проведення конкурсів теж створює </w:t>
      </w:r>
      <w:r w:rsidR="00446C4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певний ризик у тому, що </w:t>
      </w:r>
      <w:r w:rsidR="00895C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її </w:t>
      </w:r>
      <w:r w:rsidR="00446C45">
        <w:rPr>
          <w:rFonts w:ascii="Times New Roman" w:eastAsia="Times New Roman" w:hAnsi="Times New Roman" w:cs="Times New Roman"/>
          <w:sz w:val="28"/>
          <w:szCs w:val="28"/>
          <w:lang w:val="uk-UA"/>
        </w:rPr>
        <w:t>засідання</w:t>
      </w:r>
      <w:r w:rsidR="00895C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відсутності кворуму може бути визнано неправомочним.</w:t>
      </w:r>
      <w:r w:rsidR="00895C05" w:rsidRPr="00895C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46C45" w:rsidRPr="00895C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B748C3" w:rsidRPr="00B748C3" w:rsidRDefault="00B748C3" w:rsidP="00134F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Зараз в Україні на заміну старих конкурсних та аукціонних процедур активно впроваджується сучасна модель проведення електронних </w:t>
      </w:r>
      <w:r w:rsidRPr="00B748C3">
        <w:rPr>
          <w:rFonts w:eastAsia="Times New Roman"/>
          <w:sz w:val="28"/>
          <w:szCs w:val="28"/>
          <w:lang w:val="uk-UA"/>
        </w:rPr>
        <w:t xml:space="preserve">торгів </w:t>
      </w:r>
      <w:r w:rsidRPr="00B748C3">
        <w:rPr>
          <w:sz w:val="28"/>
          <w:szCs w:val="28"/>
        </w:rPr>
        <w:t xml:space="preserve">з </w:t>
      </w:r>
      <w:r w:rsidRPr="00BD4A0C">
        <w:rPr>
          <w:sz w:val="28"/>
          <w:szCs w:val="28"/>
          <w:lang w:val="uk-UA"/>
        </w:rPr>
        <w:t>використанням електронної торгової системи ProZorro.Продажі.</w:t>
      </w:r>
      <w:r w:rsidR="00AE67BF" w:rsidRPr="00BD4A0C">
        <w:rPr>
          <w:sz w:val="28"/>
          <w:szCs w:val="28"/>
          <w:lang w:val="uk-UA"/>
        </w:rPr>
        <w:t xml:space="preserve"> Така система</w:t>
      </w:r>
      <w:r w:rsidR="00AE67BF">
        <w:rPr>
          <w:sz w:val="28"/>
          <w:szCs w:val="28"/>
          <w:lang w:val="uk-UA"/>
        </w:rPr>
        <w:t xml:space="preserve"> надає можливість дистанційно подавати документи та приймати участь у конкурсі, унеможливлює виникнення домовленостей між учасниками торгів,</w:t>
      </w:r>
      <w:r w:rsidR="00EF75F4">
        <w:rPr>
          <w:sz w:val="28"/>
          <w:szCs w:val="28"/>
          <w:lang w:val="uk-UA"/>
        </w:rPr>
        <w:t xml:space="preserve"> усуває будь-які корупційні ризики, </w:t>
      </w:r>
      <w:r w:rsidR="00AE67BF">
        <w:rPr>
          <w:sz w:val="28"/>
          <w:szCs w:val="28"/>
          <w:lang w:val="uk-UA"/>
        </w:rPr>
        <w:t xml:space="preserve">розширює географію потенційних учасників завдяки електронним сервісам.   </w:t>
      </w:r>
    </w:p>
    <w:p w:rsidR="00866E38" w:rsidRPr="00B748C3" w:rsidRDefault="00866E38" w:rsidP="00134F1B">
      <w:pPr>
        <w:pStyle w:val="a3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B748C3">
        <w:rPr>
          <w:b/>
          <w:sz w:val="28"/>
          <w:szCs w:val="28"/>
          <w:bdr w:val="none" w:sz="0" w:space="0" w:color="auto" w:frame="1"/>
          <w:lang w:val="uk-UA"/>
        </w:rPr>
        <w:lastRenderedPageBreak/>
        <w:t>Основні групи (підгрупи), на які проблема справляє вплив: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853"/>
        <w:gridCol w:w="2982"/>
        <w:gridCol w:w="2793"/>
      </w:tblGrid>
      <w:tr w:rsidR="006124E3" w:rsidRPr="00B748C3" w:rsidTr="00134F1B">
        <w:trPr>
          <w:trHeight w:val="407"/>
        </w:trPr>
        <w:tc>
          <w:tcPr>
            <w:tcW w:w="3859" w:type="dxa"/>
            <w:vAlign w:val="center"/>
          </w:tcPr>
          <w:p w:rsidR="006124E3" w:rsidRPr="00B748C3" w:rsidRDefault="006124E3" w:rsidP="00134F1B">
            <w:pPr>
              <w:pStyle w:val="a3"/>
              <w:jc w:val="center"/>
              <w:rPr>
                <w:lang w:val="uk-UA"/>
              </w:rPr>
            </w:pPr>
            <w:r w:rsidRPr="00B748C3">
              <w:rPr>
                <w:lang w:val="uk-UA"/>
              </w:rPr>
              <w:t>Групи (підгрупи)</w:t>
            </w:r>
          </w:p>
        </w:tc>
        <w:tc>
          <w:tcPr>
            <w:tcW w:w="2989" w:type="dxa"/>
            <w:vAlign w:val="center"/>
          </w:tcPr>
          <w:p w:rsidR="006124E3" w:rsidRPr="00B748C3" w:rsidRDefault="006124E3" w:rsidP="00134F1B">
            <w:pPr>
              <w:pStyle w:val="a3"/>
              <w:jc w:val="center"/>
              <w:rPr>
                <w:lang w:val="uk-UA"/>
              </w:rPr>
            </w:pPr>
            <w:r w:rsidRPr="00B748C3">
              <w:rPr>
                <w:lang w:val="uk-UA"/>
              </w:rPr>
              <w:t>Так</w:t>
            </w:r>
          </w:p>
        </w:tc>
        <w:tc>
          <w:tcPr>
            <w:tcW w:w="2800" w:type="dxa"/>
            <w:vAlign w:val="center"/>
          </w:tcPr>
          <w:p w:rsidR="006124E3" w:rsidRPr="00B748C3" w:rsidRDefault="006124E3" w:rsidP="00134F1B">
            <w:pPr>
              <w:pStyle w:val="a3"/>
              <w:jc w:val="center"/>
              <w:rPr>
                <w:lang w:val="uk-UA"/>
              </w:rPr>
            </w:pPr>
            <w:r w:rsidRPr="00B748C3">
              <w:rPr>
                <w:lang w:val="uk-UA"/>
              </w:rPr>
              <w:t>Ні</w:t>
            </w:r>
          </w:p>
        </w:tc>
      </w:tr>
      <w:tr w:rsidR="006124E3" w:rsidRPr="00B748C3" w:rsidTr="00134F1B">
        <w:trPr>
          <w:trHeight w:val="413"/>
        </w:trPr>
        <w:tc>
          <w:tcPr>
            <w:tcW w:w="3859" w:type="dxa"/>
            <w:vAlign w:val="center"/>
          </w:tcPr>
          <w:p w:rsidR="006124E3" w:rsidRPr="00B748C3" w:rsidRDefault="006124E3" w:rsidP="00134F1B">
            <w:pPr>
              <w:pStyle w:val="a3"/>
              <w:rPr>
                <w:lang w:val="uk-UA"/>
              </w:rPr>
            </w:pPr>
            <w:r w:rsidRPr="00B748C3">
              <w:rPr>
                <w:lang w:val="uk-UA"/>
              </w:rPr>
              <w:t>Громадяни</w:t>
            </w:r>
          </w:p>
        </w:tc>
        <w:tc>
          <w:tcPr>
            <w:tcW w:w="2989" w:type="dxa"/>
            <w:vAlign w:val="center"/>
          </w:tcPr>
          <w:p w:rsidR="006124E3" w:rsidRPr="00B748C3" w:rsidRDefault="00B748C3" w:rsidP="00134F1B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2800" w:type="dxa"/>
            <w:vAlign w:val="center"/>
          </w:tcPr>
          <w:p w:rsidR="006124E3" w:rsidRPr="00B748C3" w:rsidRDefault="00290B19" w:rsidP="00134F1B">
            <w:pPr>
              <w:pStyle w:val="a3"/>
              <w:jc w:val="center"/>
              <w:rPr>
                <w:lang w:val="uk-UA"/>
              </w:rPr>
            </w:pPr>
            <w:r w:rsidRPr="00B748C3">
              <w:rPr>
                <w:lang w:val="uk-UA"/>
              </w:rPr>
              <w:t>Х</w:t>
            </w:r>
          </w:p>
        </w:tc>
      </w:tr>
      <w:tr w:rsidR="00290B19" w:rsidRPr="00B748C3" w:rsidTr="00134F1B">
        <w:trPr>
          <w:trHeight w:val="420"/>
        </w:trPr>
        <w:tc>
          <w:tcPr>
            <w:tcW w:w="3859" w:type="dxa"/>
            <w:vAlign w:val="center"/>
          </w:tcPr>
          <w:p w:rsidR="00290B19" w:rsidRPr="00B748C3" w:rsidRDefault="00290B19" w:rsidP="00134F1B">
            <w:pPr>
              <w:pStyle w:val="a3"/>
              <w:rPr>
                <w:lang w:val="uk-UA"/>
              </w:rPr>
            </w:pPr>
            <w:r w:rsidRPr="00B748C3">
              <w:rPr>
                <w:lang w:val="uk-UA"/>
              </w:rPr>
              <w:t>Держава</w:t>
            </w:r>
          </w:p>
        </w:tc>
        <w:tc>
          <w:tcPr>
            <w:tcW w:w="2989" w:type="dxa"/>
            <w:vAlign w:val="center"/>
          </w:tcPr>
          <w:p w:rsidR="00290B19" w:rsidRPr="00B748C3" w:rsidRDefault="00290B19" w:rsidP="00134F1B">
            <w:pPr>
              <w:pStyle w:val="a3"/>
              <w:jc w:val="center"/>
              <w:rPr>
                <w:lang w:val="uk-UA"/>
              </w:rPr>
            </w:pPr>
            <w:r w:rsidRPr="00B748C3">
              <w:rPr>
                <w:lang w:val="uk-UA"/>
              </w:rPr>
              <w:t>+</w:t>
            </w:r>
          </w:p>
        </w:tc>
        <w:tc>
          <w:tcPr>
            <w:tcW w:w="2800" w:type="dxa"/>
            <w:vAlign w:val="center"/>
          </w:tcPr>
          <w:p w:rsidR="00290B19" w:rsidRPr="00B748C3" w:rsidRDefault="00290B19" w:rsidP="00134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</w:tr>
      <w:tr w:rsidR="00290B19" w:rsidRPr="00B748C3" w:rsidTr="00134F1B">
        <w:trPr>
          <w:trHeight w:val="412"/>
        </w:trPr>
        <w:tc>
          <w:tcPr>
            <w:tcW w:w="3859" w:type="dxa"/>
            <w:vAlign w:val="center"/>
          </w:tcPr>
          <w:p w:rsidR="00290B19" w:rsidRPr="00B748C3" w:rsidRDefault="00290B19" w:rsidP="00134F1B">
            <w:pPr>
              <w:pStyle w:val="a3"/>
              <w:rPr>
                <w:lang w:val="uk-UA"/>
              </w:rPr>
            </w:pPr>
            <w:r w:rsidRPr="00B748C3">
              <w:rPr>
                <w:lang w:val="uk-UA"/>
              </w:rPr>
              <w:t>Суб'єкти господарювання,</w:t>
            </w:r>
          </w:p>
        </w:tc>
        <w:tc>
          <w:tcPr>
            <w:tcW w:w="2989" w:type="dxa"/>
            <w:vAlign w:val="center"/>
          </w:tcPr>
          <w:p w:rsidR="00290B19" w:rsidRPr="00B748C3" w:rsidRDefault="00290B19" w:rsidP="00134F1B">
            <w:pPr>
              <w:pStyle w:val="a3"/>
              <w:jc w:val="center"/>
              <w:rPr>
                <w:lang w:val="uk-UA"/>
              </w:rPr>
            </w:pPr>
            <w:r w:rsidRPr="00B748C3">
              <w:rPr>
                <w:lang w:val="uk-UA"/>
              </w:rPr>
              <w:t>+</w:t>
            </w:r>
          </w:p>
        </w:tc>
        <w:tc>
          <w:tcPr>
            <w:tcW w:w="2800" w:type="dxa"/>
            <w:vAlign w:val="center"/>
          </w:tcPr>
          <w:p w:rsidR="00290B19" w:rsidRPr="00B748C3" w:rsidRDefault="00290B19" w:rsidP="00134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</w:tr>
      <w:tr w:rsidR="00290B19" w:rsidRPr="00B748C3" w:rsidTr="00134F1B">
        <w:tc>
          <w:tcPr>
            <w:tcW w:w="3859" w:type="dxa"/>
            <w:vAlign w:val="center"/>
          </w:tcPr>
          <w:p w:rsidR="00290B19" w:rsidRPr="00B748C3" w:rsidRDefault="00290B19" w:rsidP="00134F1B">
            <w:pPr>
              <w:pStyle w:val="a3"/>
              <w:rPr>
                <w:lang w:val="uk-UA"/>
              </w:rPr>
            </w:pPr>
            <w:r w:rsidRPr="00B748C3">
              <w:rPr>
                <w:lang w:val="uk-UA"/>
              </w:rPr>
              <w:t>у тому числі суб'єкти малого підприємництва</w:t>
            </w:r>
          </w:p>
        </w:tc>
        <w:tc>
          <w:tcPr>
            <w:tcW w:w="2989" w:type="dxa"/>
            <w:vAlign w:val="center"/>
          </w:tcPr>
          <w:p w:rsidR="00290B19" w:rsidRPr="00B748C3" w:rsidRDefault="00290B19" w:rsidP="00134F1B">
            <w:pPr>
              <w:pStyle w:val="a3"/>
              <w:jc w:val="center"/>
              <w:rPr>
                <w:lang w:val="uk-UA"/>
              </w:rPr>
            </w:pPr>
            <w:r w:rsidRPr="00B748C3">
              <w:rPr>
                <w:lang w:val="uk-UA"/>
              </w:rPr>
              <w:t>+</w:t>
            </w:r>
          </w:p>
        </w:tc>
        <w:tc>
          <w:tcPr>
            <w:tcW w:w="2800" w:type="dxa"/>
            <w:vAlign w:val="center"/>
          </w:tcPr>
          <w:p w:rsidR="00290B19" w:rsidRPr="00B748C3" w:rsidRDefault="00290B19" w:rsidP="00134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</w:tr>
    </w:tbl>
    <w:p w:rsidR="00134F1B" w:rsidRPr="00AA78E0" w:rsidRDefault="00134F1B" w:rsidP="00FF41E7">
      <w:pPr>
        <w:pStyle w:val="a7"/>
        <w:ind w:firstLine="708"/>
        <w:jc w:val="both"/>
        <w:rPr>
          <w:color w:val="FF0000"/>
          <w:sz w:val="28"/>
          <w:szCs w:val="28"/>
          <w:lang w:val="uk-UA"/>
        </w:rPr>
      </w:pPr>
    </w:p>
    <w:p w:rsidR="00001E42" w:rsidRPr="001C3D5F" w:rsidRDefault="00001E42" w:rsidP="00001E42">
      <w:pPr>
        <w:pStyle w:val="a7"/>
        <w:ind w:firstLine="708"/>
        <w:jc w:val="both"/>
        <w:rPr>
          <w:sz w:val="28"/>
          <w:szCs w:val="28"/>
          <w:lang w:val="uk-UA"/>
        </w:rPr>
      </w:pPr>
      <w:r w:rsidRPr="001C3D5F">
        <w:rPr>
          <w:sz w:val="28"/>
          <w:szCs w:val="28"/>
          <w:lang w:val="uk-UA"/>
        </w:rPr>
        <w:t xml:space="preserve">Врегулювання зазначених </w:t>
      </w:r>
      <w:r w:rsidR="001C3D5F">
        <w:rPr>
          <w:sz w:val="28"/>
          <w:szCs w:val="28"/>
          <w:lang w:val="uk-UA"/>
        </w:rPr>
        <w:t>проблем</w:t>
      </w:r>
      <w:r w:rsidRPr="001C3D5F">
        <w:rPr>
          <w:sz w:val="28"/>
          <w:szCs w:val="28"/>
          <w:lang w:val="uk-UA"/>
        </w:rPr>
        <w:t xml:space="preserve"> не може бути здійснено за допомогою:</w:t>
      </w:r>
    </w:p>
    <w:p w:rsidR="00A06E38" w:rsidRDefault="00001E42" w:rsidP="00001E42">
      <w:pPr>
        <w:pStyle w:val="a7"/>
        <w:ind w:firstLine="708"/>
        <w:jc w:val="both"/>
        <w:rPr>
          <w:sz w:val="28"/>
          <w:szCs w:val="28"/>
          <w:lang w:val="uk-UA"/>
        </w:rPr>
      </w:pPr>
      <w:r w:rsidRPr="006B1718">
        <w:rPr>
          <w:sz w:val="28"/>
          <w:szCs w:val="28"/>
          <w:lang w:val="uk-UA"/>
        </w:rPr>
        <w:t xml:space="preserve">– ринкових механізмів, оскільки </w:t>
      </w:r>
      <w:r w:rsidR="006B1718">
        <w:rPr>
          <w:sz w:val="28"/>
          <w:szCs w:val="28"/>
          <w:lang w:val="uk-UA"/>
        </w:rPr>
        <w:t xml:space="preserve">КП МТК «Калинівський ринок» відповідно до свого Статуту є підприємством, </w:t>
      </w:r>
      <w:r w:rsidR="00D677FC">
        <w:rPr>
          <w:sz w:val="28"/>
          <w:szCs w:val="28"/>
          <w:lang w:val="uk-UA"/>
        </w:rPr>
        <w:t>засновником</w:t>
      </w:r>
      <w:r w:rsidR="006B1718">
        <w:rPr>
          <w:sz w:val="28"/>
          <w:szCs w:val="28"/>
          <w:lang w:val="uk-UA"/>
        </w:rPr>
        <w:t xml:space="preserve"> якого є Чернівецька міська рада</w:t>
      </w:r>
      <w:r w:rsidR="00D677FC">
        <w:rPr>
          <w:sz w:val="28"/>
          <w:szCs w:val="28"/>
          <w:lang w:val="uk-UA"/>
        </w:rPr>
        <w:t>. Р</w:t>
      </w:r>
      <w:r w:rsidR="006B1718" w:rsidRPr="006B1718">
        <w:rPr>
          <w:sz w:val="28"/>
          <w:szCs w:val="28"/>
          <w:lang w:val="uk-UA"/>
        </w:rPr>
        <w:t>ішення</w:t>
      </w:r>
      <w:r w:rsidR="00D677FC">
        <w:rPr>
          <w:sz w:val="28"/>
          <w:szCs w:val="28"/>
          <w:lang w:val="uk-UA"/>
        </w:rPr>
        <w:t>м</w:t>
      </w:r>
      <w:r w:rsidR="006B1718" w:rsidRPr="006B1718">
        <w:rPr>
          <w:sz w:val="28"/>
          <w:szCs w:val="28"/>
          <w:lang w:val="uk-UA"/>
        </w:rPr>
        <w:t xml:space="preserve"> Чернівецької міської ради </w:t>
      </w:r>
      <w:r w:rsidR="006B1718" w:rsidRPr="006B1718">
        <w:rPr>
          <w:sz w:val="28"/>
          <w:szCs w:val="28"/>
          <w:lang w:val="en-US"/>
        </w:rPr>
        <w:t>V</w:t>
      </w:r>
      <w:r w:rsidR="006B1718" w:rsidRPr="006B1718">
        <w:rPr>
          <w:sz w:val="28"/>
          <w:szCs w:val="28"/>
          <w:lang w:val="uk-UA"/>
        </w:rPr>
        <w:t>І скликання від 26.02.2015р. №1518 «Про запобігання корупційним діянням на комунальному підприємстві «Міський торговельний комплекс «Калинівський ринок»</w:t>
      </w:r>
      <w:r w:rsidR="00D677FC">
        <w:rPr>
          <w:sz w:val="28"/>
          <w:szCs w:val="28"/>
          <w:lang w:val="uk-UA"/>
        </w:rPr>
        <w:t xml:space="preserve"> </w:t>
      </w:r>
      <w:r w:rsidR="006B1718" w:rsidRPr="006B1718">
        <w:rPr>
          <w:sz w:val="28"/>
          <w:szCs w:val="28"/>
          <w:lang w:val="uk-UA"/>
        </w:rPr>
        <w:t>підприємство</w:t>
      </w:r>
      <w:r w:rsidR="00D677FC">
        <w:rPr>
          <w:sz w:val="28"/>
          <w:szCs w:val="28"/>
          <w:lang w:val="uk-UA"/>
        </w:rPr>
        <w:t xml:space="preserve"> було </w:t>
      </w:r>
      <w:r w:rsidR="006B1718" w:rsidRPr="006B1718">
        <w:rPr>
          <w:sz w:val="28"/>
          <w:szCs w:val="28"/>
          <w:lang w:val="uk-UA"/>
        </w:rPr>
        <w:t xml:space="preserve"> зобов’язан</w:t>
      </w:r>
      <w:r w:rsidR="00D677FC">
        <w:rPr>
          <w:sz w:val="28"/>
          <w:szCs w:val="28"/>
          <w:lang w:val="uk-UA"/>
        </w:rPr>
        <w:t>о</w:t>
      </w:r>
      <w:r w:rsidR="006B1718" w:rsidRPr="006B1718">
        <w:rPr>
          <w:sz w:val="28"/>
          <w:szCs w:val="28"/>
          <w:lang w:val="uk-UA"/>
        </w:rPr>
        <w:t xml:space="preserve"> проводити конкурси на встановлення нових торговельних місць тільки на конкурентних засадах, через конкурси</w:t>
      </w:r>
      <w:r w:rsidR="00F421A4">
        <w:rPr>
          <w:sz w:val="28"/>
          <w:szCs w:val="28"/>
          <w:lang w:val="uk-UA"/>
        </w:rPr>
        <w:t>;</w:t>
      </w:r>
    </w:p>
    <w:p w:rsidR="0056021D" w:rsidRPr="0056021D" w:rsidRDefault="00001E42" w:rsidP="00001E42">
      <w:pPr>
        <w:pStyle w:val="a7"/>
        <w:ind w:firstLine="708"/>
        <w:jc w:val="both"/>
        <w:rPr>
          <w:sz w:val="28"/>
          <w:szCs w:val="28"/>
          <w:lang w:val="uk-UA"/>
        </w:rPr>
      </w:pPr>
      <w:r w:rsidRPr="0056021D">
        <w:rPr>
          <w:sz w:val="28"/>
          <w:szCs w:val="28"/>
          <w:lang w:val="uk-UA"/>
        </w:rPr>
        <w:t>– діючих регуляторних актів, оскільки</w:t>
      </w:r>
      <w:r w:rsidR="007033FC" w:rsidRPr="0056021D">
        <w:rPr>
          <w:sz w:val="28"/>
          <w:szCs w:val="28"/>
          <w:lang w:val="uk-UA"/>
        </w:rPr>
        <w:t xml:space="preserve"> прийняте Чернівецької міською радою Положення про порядок проведення конкурсу з відведення новостворених торговельних місць для встановлення пунктів продажу на території КП МТК «Калинівський ринок» </w:t>
      </w:r>
      <w:r w:rsidR="0056021D" w:rsidRPr="0056021D">
        <w:rPr>
          <w:sz w:val="28"/>
          <w:szCs w:val="28"/>
          <w:lang w:val="uk-UA"/>
        </w:rPr>
        <w:t xml:space="preserve">не передбачає проведення дистанційних онлайн-торгів (аукціонів), що </w:t>
      </w:r>
      <w:r w:rsidR="007033FC" w:rsidRPr="0056021D">
        <w:rPr>
          <w:sz w:val="28"/>
          <w:szCs w:val="28"/>
          <w:lang w:val="uk-UA"/>
        </w:rPr>
        <w:t>і є причиною виникнення проблеми</w:t>
      </w:r>
      <w:r w:rsidR="0056021D" w:rsidRPr="0056021D">
        <w:rPr>
          <w:sz w:val="28"/>
          <w:szCs w:val="28"/>
          <w:lang w:val="uk-UA"/>
        </w:rPr>
        <w:t>.</w:t>
      </w:r>
    </w:p>
    <w:p w:rsidR="0056021D" w:rsidRPr="00AA78E0" w:rsidRDefault="007033FC" w:rsidP="00560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="00001E42" w:rsidRPr="007033FC">
        <w:rPr>
          <w:color w:val="FF0000"/>
          <w:sz w:val="28"/>
          <w:szCs w:val="28"/>
          <w:lang w:val="uk-UA"/>
        </w:rPr>
        <w:t xml:space="preserve"> </w:t>
      </w:r>
      <w:r w:rsidR="0056021D" w:rsidRPr="00895C05">
        <w:rPr>
          <w:rFonts w:eastAsia="Times New Roman"/>
          <w:sz w:val="28"/>
          <w:szCs w:val="28"/>
          <w:lang w:val="uk-UA"/>
        </w:rPr>
        <w:t>З огляду на вищевикладене, виникла необхідність у розробленні цього проекту регуляторного акта.</w:t>
      </w:r>
      <w:r w:rsidR="0056021D">
        <w:rPr>
          <w:rFonts w:eastAsia="Times New Roman"/>
          <w:sz w:val="28"/>
          <w:szCs w:val="28"/>
          <w:lang w:val="uk-UA"/>
        </w:rPr>
        <w:t xml:space="preserve"> </w:t>
      </w:r>
    </w:p>
    <w:p w:rsidR="00F421A4" w:rsidRPr="007033FC" w:rsidRDefault="00F421A4" w:rsidP="00001E42">
      <w:pPr>
        <w:pStyle w:val="a7"/>
        <w:ind w:firstLine="708"/>
        <w:jc w:val="both"/>
        <w:rPr>
          <w:color w:val="FF0000"/>
          <w:sz w:val="28"/>
          <w:szCs w:val="28"/>
          <w:lang w:val="uk-UA"/>
        </w:rPr>
      </w:pPr>
    </w:p>
    <w:p w:rsidR="006124E3" w:rsidRPr="00D53123" w:rsidRDefault="006124E3" w:rsidP="00343D80">
      <w:pPr>
        <w:pStyle w:val="a3"/>
        <w:spacing w:before="0" w:beforeAutospacing="0" w:after="0" w:afterAutospacing="0"/>
        <w:jc w:val="center"/>
        <w:rPr>
          <w:rFonts w:eastAsia="Times New Roman"/>
          <w:b/>
          <w:i/>
          <w:sz w:val="28"/>
          <w:szCs w:val="28"/>
          <w:lang w:val="uk-UA"/>
        </w:rPr>
      </w:pPr>
      <w:r w:rsidRPr="00D53123">
        <w:rPr>
          <w:rFonts w:eastAsia="Times New Roman"/>
          <w:b/>
          <w:i/>
          <w:sz w:val="28"/>
          <w:szCs w:val="28"/>
          <w:lang w:val="uk-UA"/>
        </w:rPr>
        <w:t>II. Цілі державного регулювання</w:t>
      </w:r>
    </w:p>
    <w:p w:rsidR="002F0F3A" w:rsidRPr="00D53123" w:rsidRDefault="002F0F3A" w:rsidP="00343D80">
      <w:pPr>
        <w:pStyle w:val="a3"/>
        <w:spacing w:before="0" w:beforeAutospacing="0" w:after="0" w:afterAutospacing="0"/>
        <w:jc w:val="center"/>
        <w:rPr>
          <w:rFonts w:eastAsia="Times New Roman"/>
          <w:b/>
          <w:i/>
          <w:sz w:val="22"/>
          <w:szCs w:val="22"/>
          <w:lang w:val="uk-UA"/>
        </w:rPr>
      </w:pPr>
    </w:p>
    <w:p w:rsidR="00001E42" w:rsidRPr="00D53123" w:rsidRDefault="00001E42" w:rsidP="00001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3123">
        <w:rPr>
          <w:rFonts w:ascii="Times New Roman" w:hAnsi="Times New Roman" w:cs="Times New Roman"/>
          <w:sz w:val="28"/>
          <w:szCs w:val="28"/>
          <w:lang w:val="uk-UA"/>
        </w:rPr>
        <w:t>Прийняття запропонованого регуляторного акту передбачає вирішення наступних цілей:</w:t>
      </w:r>
    </w:p>
    <w:p w:rsidR="00D53123" w:rsidRPr="0036106E" w:rsidRDefault="00001E42" w:rsidP="00001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7A5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53123" w:rsidRPr="007D7A5A">
        <w:rPr>
          <w:rFonts w:ascii="Times New Roman" w:hAnsi="Times New Roman" w:cs="Times New Roman"/>
          <w:sz w:val="28"/>
          <w:szCs w:val="28"/>
          <w:lang w:val="uk-UA"/>
        </w:rPr>
        <w:t>збільшення кількості потенційних учасників торгів (аукціону)</w:t>
      </w:r>
      <w:r w:rsidR="00BA60C0">
        <w:rPr>
          <w:rFonts w:ascii="Times New Roman" w:hAnsi="Times New Roman" w:cs="Times New Roman"/>
          <w:sz w:val="28"/>
          <w:szCs w:val="28"/>
          <w:lang w:val="uk-UA"/>
        </w:rPr>
        <w:t xml:space="preserve"> у зв</w:t>
      </w:r>
      <w:r w:rsidR="0036106E" w:rsidRPr="0036106E">
        <w:rPr>
          <w:rFonts w:ascii="Times New Roman" w:hAnsi="Times New Roman" w:cs="Times New Roman"/>
          <w:sz w:val="28"/>
          <w:szCs w:val="28"/>
        </w:rPr>
        <w:t>’</w:t>
      </w:r>
      <w:r w:rsidR="00BA60C0">
        <w:rPr>
          <w:rFonts w:ascii="Times New Roman" w:hAnsi="Times New Roman" w:cs="Times New Roman"/>
          <w:sz w:val="28"/>
          <w:szCs w:val="28"/>
          <w:lang w:val="uk-UA"/>
        </w:rPr>
        <w:t xml:space="preserve">язку із </w:t>
      </w:r>
      <w:r w:rsidR="0036106E" w:rsidRPr="0036106E">
        <w:rPr>
          <w:rFonts w:ascii="Times New Roman" w:hAnsi="Times New Roman" w:cs="Times New Roman"/>
          <w:sz w:val="28"/>
          <w:szCs w:val="28"/>
          <w:lang w:val="uk-UA"/>
        </w:rPr>
        <w:t>можливіст</w:t>
      </w:r>
      <w:r w:rsidR="0036106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36106E" w:rsidRPr="0036106E">
        <w:rPr>
          <w:rFonts w:ascii="Times New Roman" w:hAnsi="Times New Roman" w:cs="Times New Roman"/>
          <w:sz w:val="28"/>
          <w:szCs w:val="28"/>
          <w:lang w:val="uk-UA"/>
        </w:rPr>
        <w:t xml:space="preserve"> дистанційно подавати документи та приймати </w:t>
      </w:r>
      <w:r w:rsidR="0036106E">
        <w:rPr>
          <w:rFonts w:ascii="Times New Roman" w:hAnsi="Times New Roman" w:cs="Times New Roman"/>
          <w:sz w:val="28"/>
          <w:szCs w:val="28"/>
          <w:lang w:val="uk-UA"/>
        </w:rPr>
        <w:t xml:space="preserve">у ньому </w:t>
      </w:r>
      <w:r w:rsidR="0036106E" w:rsidRPr="0036106E">
        <w:rPr>
          <w:rFonts w:ascii="Times New Roman" w:hAnsi="Times New Roman" w:cs="Times New Roman"/>
          <w:sz w:val="28"/>
          <w:szCs w:val="28"/>
          <w:lang w:val="uk-UA"/>
        </w:rPr>
        <w:t>участь</w:t>
      </w:r>
      <w:r w:rsidR="00D53123" w:rsidRPr="0036106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D7A5A" w:rsidRDefault="00D53123" w:rsidP="00D53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7A5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D7A5A" w:rsidRPr="007D7A5A">
        <w:rPr>
          <w:rFonts w:ascii="Times New Roman" w:hAnsi="Times New Roman" w:cs="Times New Roman"/>
          <w:sz w:val="28"/>
          <w:szCs w:val="28"/>
        </w:rPr>
        <w:t>розвит</w:t>
      </w:r>
      <w:r w:rsidR="007D7A5A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7D7A5A" w:rsidRPr="007D7A5A">
        <w:rPr>
          <w:rFonts w:ascii="Times New Roman" w:hAnsi="Times New Roman" w:cs="Times New Roman"/>
          <w:sz w:val="28"/>
          <w:szCs w:val="28"/>
        </w:rPr>
        <w:t xml:space="preserve"> добросовісної конкуренції</w:t>
      </w:r>
      <w:r w:rsidR="007D7A5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D7A5A" w:rsidRDefault="007D7A5A" w:rsidP="00D53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підвищення рівня </w:t>
      </w:r>
      <w:r w:rsidRPr="007D7A5A">
        <w:rPr>
          <w:rFonts w:ascii="Times New Roman" w:hAnsi="Times New Roman" w:cs="Times New Roman"/>
          <w:sz w:val="28"/>
          <w:szCs w:val="28"/>
        </w:rPr>
        <w:t>прозорості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D7A5A">
        <w:rPr>
          <w:rFonts w:ascii="Times New Roman" w:hAnsi="Times New Roman" w:cs="Times New Roman"/>
          <w:sz w:val="28"/>
          <w:szCs w:val="28"/>
        </w:rPr>
        <w:t>публічності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громадського контролю</w:t>
      </w:r>
      <w:r w:rsidR="00EF75F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F75F4" w:rsidRDefault="00EF75F4" w:rsidP="00D53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забезпеч</w:t>
      </w:r>
      <w:r w:rsidR="00670FD1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інтерес</w:t>
      </w:r>
      <w:r w:rsidR="00670FD1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КП МТК «Калинівський ринок» </w:t>
      </w:r>
      <w:r w:rsidR="00A409CC">
        <w:rPr>
          <w:rFonts w:ascii="Times New Roman" w:hAnsi="Times New Roman" w:cs="Times New Roman"/>
          <w:sz w:val="28"/>
          <w:szCs w:val="28"/>
          <w:lang w:val="uk-UA"/>
        </w:rPr>
        <w:t xml:space="preserve">та Чернівецької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максимізації доходу, отриманого від проведення </w:t>
      </w:r>
      <w:r w:rsidR="00A409CC">
        <w:rPr>
          <w:rFonts w:ascii="Times New Roman" w:hAnsi="Times New Roman" w:cs="Times New Roman"/>
          <w:sz w:val="28"/>
          <w:szCs w:val="28"/>
          <w:lang w:val="uk-UA"/>
        </w:rPr>
        <w:t>торгів (аукціону).</w:t>
      </w:r>
    </w:p>
    <w:p w:rsidR="00D53123" w:rsidRPr="007D7A5A" w:rsidRDefault="00D53123" w:rsidP="00D531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6124E3" w:rsidRPr="007D7A5A" w:rsidRDefault="0086326A" w:rsidP="00001E42">
      <w:pPr>
        <w:pStyle w:val="a3"/>
        <w:spacing w:before="0" w:beforeAutospacing="0" w:after="0" w:afterAutospacing="0"/>
        <w:ind w:firstLine="709"/>
        <w:jc w:val="center"/>
        <w:rPr>
          <w:rFonts w:eastAsia="Times New Roman"/>
          <w:b/>
          <w:i/>
          <w:sz w:val="28"/>
          <w:szCs w:val="28"/>
          <w:lang w:val="uk-UA"/>
        </w:rPr>
      </w:pPr>
      <w:r w:rsidRPr="007D7A5A">
        <w:rPr>
          <w:rFonts w:eastAsia="Times New Roman"/>
          <w:b/>
          <w:i/>
          <w:sz w:val="28"/>
          <w:szCs w:val="28"/>
          <w:lang w:val="uk-UA"/>
        </w:rPr>
        <w:t>І</w:t>
      </w:r>
      <w:r w:rsidR="006124E3" w:rsidRPr="007D7A5A">
        <w:rPr>
          <w:rFonts w:eastAsia="Times New Roman"/>
          <w:b/>
          <w:i/>
          <w:sz w:val="28"/>
          <w:szCs w:val="28"/>
          <w:lang w:val="uk-UA"/>
        </w:rPr>
        <w:t>II. Визначення та оцінка альтернативних способів досягнення цілей</w:t>
      </w:r>
    </w:p>
    <w:p w:rsidR="002F0F3A" w:rsidRPr="00AA78E0" w:rsidRDefault="002F0F3A" w:rsidP="00001E42">
      <w:pPr>
        <w:pStyle w:val="a3"/>
        <w:spacing w:before="0" w:beforeAutospacing="0" w:after="0" w:afterAutospacing="0"/>
        <w:ind w:firstLine="709"/>
        <w:jc w:val="center"/>
        <w:rPr>
          <w:rFonts w:eastAsia="Times New Roman"/>
          <w:b/>
          <w:i/>
          <w:color w:val="FF0000"/>
          <w:sz w:val="22"/>
          <w:szCs w:val="22"/>
          <w:lang w:val="uk-UA"/>
        </w:rPr>
      </w:pPr>
    </w:p>
    <w:p w:rsidR="006124E3" w:rsidRPr="007D7A5A" w:rsidRDefault="006124E3" w:rsidP="00027D9C">
      <w:pPr>
        <w:pStyle w:val="a3"/>
        <w:spacing w:before="0" w:beforeAutospacing="0" w:after="0" w:afterAutospacing="0"/>
        <w:ind w:firstLine="709"/>
        <w:rPr>
          <w:sz w:val="28"/>
          <w:szCs w:val="28"/>
          <w:lang w:val="uk-UA"/>
        </w:rPr>
      </w:pPr>
      <w:r w:rsidRPr="007D7A5A">
        <w:rPr>
          <w:sz w:val="28"/>
          <w:szCs w:val="28"/>
          <w:lang w:val="uk-UA"/>
        </w:rPr>
        <w:t>1. Визначення альтернативних способів</w:t>
      </w:r>
      <w:r w:rsidR="00622C47" w:rsidRPr="007D7A5A">
        <w:rPr>
          <w:sz w:val="28"/>
          <w:szCs w:val="28"/>
          <w:lang w:val="uk-UA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6"/>
        <w:gridCol w:w="6962"/>
      </w:tblGrid>
      <w:tr w:rsidR="006124E3" w:rsidRPr="0036106E" w:rsidTr="00001E42">
        <w:trPr>
          <w:trHeight w:val="500"/>
        </w:trPr>
        <w:tc>
          <w:tcPr>
            <w:tcW w:w="2705" w:type="dxa"/>
            <w:vAlign w:val="center"/>
          </w:tcPr>
          <w:p w:rsidR="006124E3" w:rsidRPr="0036106E" w:rsidRDefault="006124E3" w:rsidP="00001E42">
            <w:pPr>
              <w:pStyle w:val="a3"/>
              <w:jc w:val="center"/>
              <w:rPr>
                <w:lang w:val="uk-UA"/>
              </w:rPr>
            </w:pPr>
            <w:r w:rsidRPr="0036106E">
              <w:rPr>
                <w:lang w:val="uk-UA"/>
              </w:rPr>
              <w:t>Вид альтернативи</w:t>
            </w:r>
          </w:p>
        </w:tc>
        <w:tc>
          <w:tcPr>
            <w:tcW w:w="7149" w:type="dxa"/>
            <w:vAlign w:val="center"/>
          </w:tcPr>
          <w:p w:rsidR="006124E3" w:rsidRPr="0036106E" w:rsidRDefault="006124E3" w:rsidP="00001E42">
            <w:pPr>
              <w:pStyle w:val="a3"/>
              <w:jc w:val="center"/>
              <w:rPr>
                <w:lang w:val="uk-UA"/>
              </w:rPr>
            </w:pPr>
            <w:r w:rsidRPr="0036106E">
              <w:rPr>
                <w:lang w:val="uk-UA"/>
              </w:rPr>
              <w:t>Опис альтернативи</w:t>
            </w:r>
          </w:p>
        </w:tc>
      </w:tr>
      <w:tr w:rsidR="006124E3" w:rsidRPr="003F09F9" w:rsidTr="0036106E">
        <w:trPr>
          <w:trHeight w:val="247"/>
        </w:trPr>
        <w:tc>
          <w:tcPr>
            <w:tcW w:w="2705" w:type="dxa"/>
            <w:vAlign w:val="center"/>
          </w:tcPr>
          <w:p w:rsidR="006124E3" w:rsidRPr="0036106E" w:rsidRDefault="006124E3" w:rsidP="00A116B2">
            <w:pPr>
              <w:pStyle w:val="a3"/>
              <w:jc w:val="center"/>
              <w:rPr>
                <w:lang w:val="uk-UA"/>
              </w:rPr>
            </w:pPr>
            <w:r w:rsidRPr="0036106E">
              <w:rPr>
                <w:lang w:val="uk-UA"/>
              </w:rPr>
              <w:t>Альтернатива 1</w:t>
            </w:r>
          </w:p>
        </w:tc>
        <w:tc>
          <w:tcPr>
            <w:tcW w:w="7149" w:type="dxa"/>
          </w:tcPr>
          <w:p w:rsidR="00E72C1D" w:rsidRPr="0036106E" w:rsidRDefault="0036106E" w:rsidP="00926EF7">
            <w:pPr>
              <w:pStyle w:val="a3"/>
              <w:jc w:val="center"/>
              <w:rPr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Збереження чинної процедури </w:t>
            </w:r>
            <w:r w:rsidRPr="0036106E">
              <w:rPr>
                <w:rFonts w:eastAsia="Times New Roman"/>
                <w:lang w:val="uk-UA"/>
              </w:rPr>
              <w:t xml:space="preserve">відведення новостворених торговельних місць на території КП МТК «Калинівський ринок» для встановлення суб’єктами господарювання пунктів продажу </w:t>
            </w:r>
            <w:r>
              <w:rPr>
                <w:rFonts w:eastAsia="Times New Roman"/>
                <w:lang w:val="uk-UA"/>
              </w:rPr>
              <w:lastRenderedPageBreak/>
              <w:t xml:space="preserve">відповідно до Положення, </w:t>
            </w:r>
            <w:r w:rsidRPr="0036106E">
              <w:rPr>
                <w:rFonts w:eastAsia="Times New Roman"/>
                <w:lang w:val="uk-UA"/>
              </w:rPr>
              <w:t xml:space="preserve">затвердженого рішенням міської ради </w:t>
            </w:r>
            <w:r w:rsidRPr="0036106E">
              <w:rPr>
                <w:rFonts w:eastAsia="Times New Roman"/>
                <w:lang w:val="en-US"/>
              </w:rPr>
              <w:t>V</w:t>
            </w:r>
            <w:r w:rsidRPr="0036106E">
              <w:rPr>
                <w:rFonts w:eastAsia="Times New Roman"/>
                <w:lang w:val="uk-UA"/>
              </w:rPr>
              <w:t>ІІ скликання від 11.04.2016р. №167</w:t>
            </w:r>
            <w:r w:rsidR="00D8003F">
              <w:rPr>
                <w:rFonts w:eastAsia="Times New Roman"/>
                <w:lang w:val="uk-UA"/>
              </w:rPr>
              <w:t>.</w:t>
            </w:r>
          </w:p>
        </w:tc>
      </w:tr>
      <w:tr w:rsidR="006124E3" w:rsidRPr="00E0232B" w:rsidTr="00A116B2">
        <w:trPr>
          <w:trHeight w:val="397"/>
        </w:trPr>
        <w:tc>
          <w:tcPr>
            <w:tcW w:w="2705" w:type="dxa"/>
            <w:vAlign w:val="center"/>
          </w:tcPr>
          <w:p w:rsidR="006124E3" w:rsidRPr="0036106E" w:rsidRDefault="006124E3" w:rsidP="00A116B2">
            <w:pPr>
              <w:pStyle w:val="a3"/>
              <w:jc w:val="center"/>
              <w:rPr>
                <w:lang w:val="uk-UA"/>
              </w:rPr>
            </w:pPr>
            <w:r w:rsidRPr="0036106E">
              <w:rPr>
                <w:lang w:val="uk-UA"/>
              </w:rPr>
              <w:lastRenderedPageBreak/>
              <w:t>Альтернатива</w:t>
            </w:r>
            <w:r w:rsidR="00015B1B" w:rsidRPr="0036106E">
              <w:rPr>
                <w:lang w:val="uk-UA"/>
              </w:rPr>
              <w:t xml:space="preserve"> </w:t>
            </w:r>
            <w:r w:rsidR="00E72C1D" w:rsidRPr="0036106E">
              <w:rPr>
                <w:lang w:val="uk-UA"/>
              </w:rPr>
              <w:t>2</w:t>
            </w:r>
          </w:p>
        </w:tc>
        <w:tc>
          <w:tcPr>
            <w:tcW w:w="7149" w:type="dxa"/>
            <w:vAlign w:val="center"/>
          </w:tcPr>
          <w:p w:rsidR="006124E3" w:rsidRPr="0092609C" w:rsidRDefault="00331BC8" w:rsidP="00926EF7">
            <w:pPr>
              <w:pStyle w:val="a3"/>
              <w:jc w:val="center"/>
              <w:rPr>
                <w:lang w:val="uk-UA"/>
              </w:rPr>
            </w:pPr>
            <w:r w:rsidRPr="0092609C">
              <w:rPr>
                <w:lang w:val="uk-UA"/>
              </w:rPr>
              <w:t xml:space="preserve">Прийняття запропонованого проекту рішення </w:t>
            </w:r>
            <w:r w:rsidR="00A8773E" w:rsidRPr="0092609C">
              <w:rPr>
                <w:rFonts w:eastAsia="Times New Roman"/>
                <w:lang w:val="uk-UA"/>
              </w:rPr>
              <w:t xml:space="preserve"> </w:t>
            </w:r>
            <w:r w:rsidRPr="0092609C">
              <w:rPr>
                <w:lang w:val="uk-UA"/>
              </w:rPr>
              <w:t xml:space="preserve">«Про організацію електронних торгів (аукціонів) на право користування торговельними місцями для встановлення пунктів продажу на території КП МТК «Калинівський ринок» з використанням електронної торгової системи </w:t>
            </w:r>
            <w:r w:rsidRPr="0092609C">
              <w:t>ProZorro</w:t>
            </w:r>
            <w:r w:rsidRPr="0092609C">
              <w:rPr>
                <w:lang w:val="uk-UA"/>
              </w:rPr>
              <w:t>.Продажі і визнання таким, що втратило чинність рішення Чернівецької міської ради від 11.04.2016 року №167», що передбачає запровадження електронної процедури торгів (аукціонів)</w:t>
            </w:r>
            <w:r w:rsidR="00D8003F" w:rsidRPr="0092609C">
              <w:rPr>
                <w:lang w:val="uk-UA"/>
              </w:rPr>
              <w:t>.</w:t>
            </w:r>
          </w:p>
          <w:p w:rsidR="00E0232B" w:rsidRPr="0092609C" w:rsidRDefault="00E0232B" w:rsidP="0092609C">
            <w:pPr>
              <w:pStyle w:val="a3"/>
              <w:jc w:val="center"/>
              <w:rPr>
                <w:lang w:val="uk-UA"/>
              </w:rPr>
            </w:pPr>
            <w:r w:rsidRPr="0092609C">
              <w:rPr>
                <w:lang w:val="uk-UA"/>
              </w:rPr>
              <w:t xml:space="preserve">Що дасть можливість отримати за </w:t>
            </w:r>
            <w:r w:rsidR="009433CE" w:rsidRPr="0092609C">
              <w:rPr>
                <w:lang w:val="uk-UA"/>
              </w:rPr>
              <w:t>кожн</w:t>
            </w:r>
            <w:r w:rsidR="0044141B" w:rsidRPr="0092609C">
              <w:rPr>
                <w:lang w:val="uk-UA"/>
              </w:rPr>
              <w:t xml:space="preserve">е </w:t>
            </w:r>
            <w:r w:rsidR="009433CE" w:rsidRPr="0092609C">
              <w:rPr>
                <w:lang w:val="uk-UA"/>
              </w:rPr>
              <w:t xml:space="preserve">з </w:t>
            </w:r>
            <w:r w:rsidR="0092609C" w:rsidRPr="0092609C">
              <w:rPr>
                <w:lang w:val="uk-UA"/>
              </w:rPr>
              <w:t xml:space="preserve">15 </w:t>
            </w:r>
            <w:r w:rsidR="0044141B" w:rsidRPr="0092609C">
              <w:rPr>
                <w:lang w:val="uk-UA"/>
              </w:rPr>
              <w:t>торговельних місць</w:t>
            </w:r>
            <w:r w:rsidR="009433CE" w:rsidRPr="0092609C">
              <w:rPr>
                <w:lang w:val="uk-UA"/>
              </w:rPr>
              <w:t xml:space="preserve">, розташованих на території автостанції на у секторі №8 КП МТК «Калинівський ринок» близько </w:t>
            </w:r>
            <w:r w:rsidR="0092609C" w:rsidRPr="0092609C">
              <w:rPr>
                <w:lang w:val="uk-UA"/>
              </w:rPr>
              <w:t>78</w:t>
            </w:r>
            <w:r w:rsidR="0092609C">
              <w:rPr>
                <w:lang w:val="uk-UA"/>
              </w:rPr>
              <w:t>,6</w:t>
            </w:r>
            <w:r w:rsidR="009433CE" w:rsidRPr="0092609C">
              <w:rPr>
                <w:lang w:val="uk-UA"/>
              </w:rPr>
              <w:t xml:space="preserve"> тис. грн. </w:t>
            </w:r>
            <w:r w:rsidR="0092609C" w:rsidRPr="0092609C">
              <w:rPr>
                <w:lang w:val="uk-UA"/>
              </w:rPr>
              <w:t xml:space="preserve"> (15 мінімальних заробітніх плат – почакова ціна лоту згідно з проектом рішення)</w:t>
            </w:r>
            <w:r w:rsidR="00A10D0F">
              <w:rPr>
                <w:lang w:val="uk-UA"/>
              </w:rPr>
              <w:t>. Всього – близько 943 тис. грн..</w:t>
            </w:r>
          </w:p>
        </w:tc>
      </w:tr>
    </w:tbl>
    <w:p w:rsidR="002D434A" w:rsidRPr="00AA78E0" w:rsidRDefault="002D434A" w:rsidP="00027D9C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  <w:lang w:val="uk-UA"/>
        </w:rPr>
      </w:pPr>
    </w:p>
    <w:p w:rsidR="006124E3" w:rsidRPr="00EF75F4" w:rsidRDefault="006124E3" w:rsidP="00027D9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F75F4">
        <w:rPr>
          <w:sz w:val="28"/>
          <w:szCs w:val="28"/>
          <w:lang w:val="uk-UA"/>
        </w:rPr>
        <w:t>2. Оцінка вибраних альтернативних способів досягнення цілей</w:t>
      </w:r>
    </w:p>
    <w:p w:rsidR="006124E3" w:rsidRPr="00EF75F4" w:rsidRDefault="006124E3" w:rsidP="00027D9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F75F4">
        <w:rPr>
          <w:sz w:val="28"/>
          <w:szCs w:val="28"/>
          <w:lang w:val="uk-UA"/>
        </w:rPr>
        <w:t xml:space="preserve">Оцінка впливу на сферу інтересів держави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43"/>
        <w:gridCol w:w="3961"/>
        <w:gridCol w:w="3444"/>
      </w:tblGrid>
      <w:tr w:rsidR="006124E3" w:rsidRPr="00EF75F4" w:rsidTr="004A038C">
        <w:tc>
          <w:tcPr>
            <w:tcW w:w="2243" w:type="dxa"/>
          </w:tcPr>
          <w:p w:rsidR="006124E3" w:rsidRPr="00EF75F4" w:rsidRDefault="006124E3" w:rsidP="006124E3">
            <w:pPr>
              <w:pStyle w:val="a3"/>
              <w:jc w:val="center"/>
              <w:rPr>
                <w:lang w:val="uk-UA"/>
              </w:rPr>
            </w:pPr>
            <w:r w:rsidRPr="00EF75F4">
              <w:rPr>
                <w:lang w:val="uk-UA"/>
              </w:rPr>
              <w:t>Вид альтернативи</w:t>
            </w:r>
          </w:p>
        </w:tc>
        <w:tc>
          <w:tcPr>
            <w:tcW w:w="3961" w:type="dxa"/>
          </w:tcPr>
          <w:p w:rsidR="006124E3" w:rsidRPr="00EF75F4" w:rsidRDefault="006124E3" w:rsidP="006124E3">
            <w:pPr>
              <w:pStyle w:val="a3"/>
              <w:jc w:val="center"/>
              <w:rPr>
                <w:lang w:val="uk-UA"/>
              </w:rPr>
            </w:pPr>
            <w:r w:rsidRPr="00EF75F4">
              <w:rPr>
                <w:lang w:val="uk-UA"/>
              </w:rPr>
              <w:t>Вигоди</w:t>
            </w:r>
          </w:p>
        </w:tc>
        <w:tc>
          <w:tcPr>
            <w:tcW w:w="3444" w:type="dxa"/>
          </w:tcPr>
          <w:p w:rsidR="006124E3" w:rsidRPr="00EF75F4" w:rsidRDefault="006124E3" w:rsidP="006124E3">
            <w:pPr>
              <w:pStyle w:val="a3"/>
              <w:jc w:val="center"/>
              <w:rPr>
                <w:lang w:val="uk-UA"/>
              </w:rPr>
            </w:pPr>
            <w:r w:rsidRPr="00EF75F4">
              <w:rPr>
                <w:lang w:val="uk-UA"/>
              </w:rPr>
              <w:t>Витрати</w:t>
            </w:r>
          </w:p>
        </w:tc>
      </w:tr>
      <w:tr w:rsidR="006124E3" w:rsidRPr="00BD4A0C" w:rsidTr="004A038C">
        <w:tc>
          <w:tcPr>
            <w:tcW w:w="2243" w:type="dxa"/>
            <w:vAlign w:val="center"/>
          </w:tcPr>
          <w:p w:rsidR="006124E3" w:rsidRPr="00EF75F4" w:rsidRDefault="006124E3" w:rsidP="00A116B2">
            <w:pPr>
              <w:pStyle w:val="a3"/>
              <w:jc w:val="center"/>
              <w:rPr>
                <w:lang w:val="uk-UA"/>
              </w:rPr>
            </w:pPr>
            <w:r w:rsidRPr="00EF75F4">
              <w:rPr>
                <w:lang w:val="uk-UA"/>
              </w:rPr>
              <w:t>Альтернатива 1</w:t>
            </w:r>
          </w:p>
        </w:tc>
        <w:tc>
          <w:tcPr>
            <w:tcW w:w="3961" w:type="dxa"/>
          </w:tcPr>
          <w:p w:rsidR="00932C65" w:rsidRPr="0017136F" w:rsidRDefault="00932C65" w:rsidP="00926EF7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17136F">
              <w:rPr>
                <w:lang w:val="uk-UA"/>
              </w:rPr>
              <w:t>Вигоди відсутні.</w:t>
            </w:r>
          </w:p>
          <w:p w:rsidR="00052806" w:rsidRPr="0017136F" w:rsidRDefault="00932C65" w:rsidP="00926EF7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17136F">
              <w:rPr>
                <w:lang w:val="uk-UA"/>
              </w:rPr>
              <w:t>Конкурси не проводилися, в зв</w:t>
            </w:r>
            <w:r w:rsidRPr="0017136F">
              <w:t>’</w:t>
            </w:r>
            <w:r w:rsidRPr="0017136F">
              <w:rPr>
                <w:lang w:val="uk-UA"/>
              </w:rPr>
              <w:t>язку з невідповідністю та неврегульованістю чинних процедур у діючому законодавстві.</w:t>
            </w:r>
          </w:p>
          <w:p w:rsidR="00932C65" w:rsidRPr="0017136F" w:rsidRDefault="00932C65" w:rsidP="0092609C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17136F">
              <w:rPr>
                <w:lang w:val="uk-UA"/>
              </w:rPr>
              <w:t xml:space="preserve">Втрати бюджету складають близько </w:t>
            </w:r>
            <w:r w:rsidR="0092609C" w:rsidRPr="0017136F">
              <w:rPr>
                <w:lang w:val="uk-UA"/>
              </w:rPr>
              <w:t>943</w:t>
            </w:r>
            <w:r w:rsidRPr="0017136F">
              <w:rPr>
                <w:lang w:val="uk-UA"/>
              </w:rPr>
              <w:t xml:space="preserve"> тис. грн.</w:t>
            </w:r>
          </w:p>
        </w:tc>
        <w:tc>
          <w:tcPr>
            <w:tcW w:w="3444" w:type="dxa"/>
          </w:tcPr>
          <w:p w:rsidR="00932C65" w:rsidRDefault="00EF1FA1" w:rsidP="00932C65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Низький рівень</w:t>
            </w:r>
            <w:r w:rsidR="00EF75F4" w:rsidRPr="00A409CC">
              <w:rPr>
                <w:lang w:val="uk-UA"/>
              </w:rPr>
              <w:t xml:space="preserve"> відкритості</w:t>
            </w:r>
            <w:r w:rsidR="00A409CC">
              <w:rPr>
                <w:lang w:val="uk-UA"/>
              </w:rPr>
              <w:t xml:space="preserve"> та</w:t>
            </w:r>
            <w:r w:rsidR="00A409CC" w:rsidRPr="00A409CC">
              <w:rPr>
                <w:lang w:val="uk-UA"/>
              </w:rPr>
              <w:t xml:space="preserve"> доступності конкурсної процедури.</w:t>
            </w:r>
            <w:r w:rsidR="00A409CC">
              <w:rPr>
                <w:lang w:val="uk-UA"/>
              </w:rPr>
              <w:t xml:space="preserve"> </w:t>
            </w:r>
          </w:p>
          <w:p w:rsidR="00343D80" w:rsidRPr="00A409CC" w:rsidRDefault="00343D80" w:rsidP="00932C65">
            <w:pPr>
              <w:pStyle w:val="a3"/>
              <w:jc w:val="center"/>
              <w:rPr>
                <w:lang w:val="uk-UA"/>
              </w:rPr>
            </w:pPr>
          </w:p>
        </w:tc>
      </w:tr>
      <w:tr w:rsidR="006124E3" w:rsidRPr="00BF20F6" w:rsidTr="004A038C">
        <w:tc>
          <w:tcPr>
            <w:tcW w:w="2243" w:type="dxa"/>
            <w:vAlign w:val="center"/>
          </w:tcPr>
          <w:p w:rsidR="006124E3" w:rsidRPr="00EF75F4" w:rsidRDefault="006124E3" w:rsidP="00A116B2">
            <w:pPr>
              <w:pStyle w:val="a3"/>
              <w:jc w:val="center"/>
              <w:rPr>
                <w:lang w:val="uk-UA"/>
              </w:rPr>
            </w:pPr>
            <w:r w:rsidRPr="00EF75F4">
              <w:rPr>
                <w:lang w:val="uk-UA"/>
              </w:rPr>
              <w:t xml:space="preserve">Альтернатива </w:t>
            </w:r>
            <w:r w:rsidR="002D434A" w:rsidRPr="00EF75F4">
              <w:rPr>
                <w:lang w:val="uk-UA"/>
              </w:rPr>
              <w:t>2</w:t>
            </w:r>
          </w:p>
        </w:tc>
        <w:tc>
          <w:tcPr>
            <w:tcW w:w="3961" w:type="dxa"/>
          </w:tcPr>
          <w:p w:rsidR="006124E3" w:rsidRPr="0017136F" w:rsidRDefault="00E82E63" w:rsidP="0092609C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7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Високий рівень відкритості та прозорості. Створення умов для добросовісної конкуренції. Мінімізація корупційних ризиків. </w:t>
            </w:r>
            <w:r w:rsidR="00007DA2" w:rsidRPr="0017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Позитивний імідж КП МТК «Калинівський ринок».</w:t>
            </w:r>
            <w:r w:rsidR="00007DA2" w:rsidRPr="0017136F">
              <w:rPr>
                <w:lang w:val="uk-UA"/>
              </w:rPr>
              <w:t xml:space="preserve">   </w:t>
            </w:r>
            <w:r w:rsidRPr="0017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Максимізація </w:t>
            </w:r>
            <w:r w:rsidR="00670FD1" w:rsidRPr="0017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отриманого </w:t>
            </w:r>
            <w:r w:rsidRPr="0017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доходу </w:t>
            </w:r>
            <w:r w:rsidR="00670FD1" w:rsidRPr="0017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007DA2" w:rsidRPr="0017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80% сплаченої переможцем електронних торгів (аукціонів) ціни лоту перераховується на рахунок цільового фонду соціально-економічного розвитку міста</w:t>
            </w:r>
            <w:r w:rsidR="00670FD1" w:rsidRPr="0017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007DA2" w:rsidRPr="0017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932C65" w:rsidRPr="0017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Очікувані надходження до бюджету – </w:t>
            </w:r>
            <w:r w:rsidR="0092609C" w:rsidRPr="0017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понад 943</w:t>
            </w:r>
            <w:r w:rsidR="00932C65" w:rsidRPr="0017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тис. грн.</w:t>
            </w:r>
          </w:p>
        </w:tc>
        <w:tc>
          <w:tcPr>
            <w:tcW w:w="3444" w:type="dxa"/>
            <w:vAlign w:val="center"/>
          </w:tcPr>
          <w:p w:rsidR="006124E3" w:rsidRPr="00F52CC0" w:rsidRDefault="00BF20F6" w:rsidP="00BF20F6">
            <w:pPr>
              <w:pStyle w:val="a3"/>
              <w:jc w:val="center"/>
              <w:rPr>
                <w:lang w:val="uk-UA"/>
              </w:rPr>
            </w:pPr>
            <w:r w:rsidRPr="0092609C">
              <w:rPr>
                <w:lang w:val="uk-UA"/>
              </w:rPr>
              <w:t xml:space="preserve">Незначні, пов'язані зі сплатою суб'єктом господарювання обов'язкових внесків за реєстрацію в системі </w:t>
            </w:r>
            <w:r w:rsidRPr="0092609C">
              <w:t>ProZorro</w:t>
            </w:r>
            <w:r w:rsidRPr="0092609C">
              <w:rPr>
                <w:lang w:val="uk-UA"/>
              </w:rPr>
              <w:t xml:space="preserve">.Продажі. Часові витрати на ознайомлення і участь у електронному </w:t>
            </w:r>
            <w:r w:rsidRPr="00BF20F6">
              <w:rPr>
                <w:lang w:val="uk-UA"/>
              </w:rPr>
              <w:t>аукціоні</w:t>
            </w:r>
            <w:r>
              <w:rPr>
                <w:lang w:val="uk-UA"/>
              </w:rPr>
              <w:t xml:space="preserve"> -</w:t>
            </w:r>
            <w:r w:rsidRPr="00BF20F6">
              <w:rPr>
                <w:lang w:val="uk-UA"/>
              </w:rPr>
              <w:t xml:space="preserve"> 63106,4 грн. (у випадку реєстрації </w:t>
            </w:r>
            <w:r>
              <w:rPr>
                <w:lang w:val="uk-UA"/>
              </w:rPr>
              <w:t xml:space="preserve">і участі </w:t>
            </w:r>
            <w:r w:rsidRPr="00BF20F6">
              <w:rPr>
                <w:lang w:val="uk-UA"/>
              </w:rPr>
              <w:t>всіх суб'єктів в аукціоні  на один об’єкт)</w:t>
            </w:r>
          </w:p>
        </w:tc>
      </w:tr>
    </w:tbl>
    <w:p w:rsidR="004856F4" w:rsidRPr="00AA78E0" w:rsidRDefault="004856F4" w:rsidP="00027D9C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  <w:lang w:val="uk-UA"/>
        </w:rPr>
      </w:pPr>
    </w:p>
    <w:p w:rsidR="006124E3" w:rsidRPr="00B15D66" w:rsidRDefault="006124E3" w:rsidP="00027D9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15D66">
        <w:rPr>
          <w:sz w:val="28"/>
          <w:szCs w:val="28"/>
          <w:lang w:val="uk-UA"/>
        </w:rPr>
        <w:t>Оцінка впливу на сферу інтересів громадян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43"/>
        <w:gridCol w:w="3961"/>
        <w:gridCol w:w="3444"/>
      </w:tblGrid>
      <w:tr w:rsidR="00075E08" w:rsidRPr="00B15D66" w:rsidTr="004A038C">
        <w:tc>
          <w:tcPr>
            <w:tcW w:w="2243" w:type="dxa"/>
          </w:tcPr>
          <w:p w:rsidR="00075E08" w:rsidRPr="00B15D66" w:rsidRDefault="00075E08" w:rsidP="00916BB7">
            <w:pPr>
              <w:pStyle w:val="a3"/>
              <w:jc w:val="center"/>
              <w:rPr>
                <w:lang w:val="uk-UA"/>
              </w:rPr>
            </w:pPr>
            <w:r w:rsidRPr="00B15D66">
              <w:rPr>
                <w:lang w:val="uk-UA"/>
              </w:rPr>
              <w:t>Вид альтернативи</w:t>
            </w:r>
          </w:p>
        </w:tc>
        <w:tc>
          <w:tcPr>
            <w:tcW w:w="3961" w:type="dxa"/>
          </w:tcPr>
          <w:p w:rsidR="00075E08" w:rsidRPr="00B15D66" w:rsidRDefault="00075E08" w:rsidP="00916BB7">
            <w:pPr>
              <w:pStyle w:val="a3"/>
              <w:jc w:val="center"/>
              <w:rPr>
                <w:lang w:val="uk-UA"/>
              </w:rPr>
            </w:pPr>
            <w:r w:rsidRPr="00B15D66">
              <w:rPr>
                <w:lang w:val="uk-UA"/>
              </w:rPr>
              <w:t>Вигоди</w:t>
            </w:r>
          </w:p>
        </w:tc>
        <w:tc>
          <w:tcPr>
            <w:tcW w:w="3444" w:type="dxa"/>
          </w:tcPr>
          <w:p w:rsidR="00075E08" w:rsidRPr="00B15D66" w:rsidRDefault="00075E08" w:rsidP="00916BB7">
            <w:pPr>
              <w:pStyle w:val="a3"/>
              <w:jc w:val="center"/>
              <w:rPr>
                <w:lang w:val="uk-UA"/>
              </w:rPr>
            </w:pPr>
            <w:r w:rsidRPr="00B15D66">
              <w:rPr>
                <w:lang w:val="uk-UA"/>
              </w:rPr>
              <w:t>Витрати</w:t>
            </w:r>
          </w:p>
        </w:tc>
      </w:tr>
      <w:tr w:rsidR="007A41F0" w:rsidRPr="00AA78E0" w:rsidTr="004A038C">
        <w:tc>
          <w:tcPr>
            <w:tcW w:w="2243" w:type="dxa"/>
            <w:vAlign w:val="center"/>
          </w:tcPr>
          <w:p w:rsidR="007A41F0" w:rsidRPr="00431549" w:rsidRDefault="007A41F0" w:rsidP="00A116B2">
            <w:pPr>
              <w:pStyle w:val="a3"/>
              <w:jc w:val="center"/>
              <w:rPr>
                <w:lang w:val="uk-UA"/>
              </w:rPr>
            </w:pPr>
            <w:r w:rsidRPr="00431549">
              <w:rPr>
                <w:lang w:val="uk-UA"/>
              </w:rPr>
              <w:t>Альтернатива 1</w:t>
            </w:r>
          </w:p>
        </w:tc>
        <w:tc>
          <w:tcPr>
            <w:tcW w:w="3961" w:type="dxa"/>
          </w:tcPr>
          <w:p w:rsidR="007A41F0" w:rsidRPr="00431549" w:rsidRDefault="002D4623" w:rsidP="00926EF7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2E6708">
              <w:rPr>
                <w:lang w:val="uk-UA"/>
              </w:rPr>
              <w:t>Відсутні</w:t>
            </w:r>
          </w:p>
        </w:tc>
        <w:tc>
          <w:tcPr>
            <w:tcW w:w="3444" w:type="dxa"/>
            <w:vAlign w:val="center"/>
          </w:tcPr>
          <w:p w:rsidR="007A41F0" w:rsidRPr="00431549" w:rsidRDefault="002D4623" w:rsidP="00B32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забезпечується надходження у фонд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соціально-економічного розвитку і розвиток міської інфраструктури</w:t>
            </w:r>
          </w:p>
        </w:tc>
      </w:tr>
      <w:tr w:rsidR="007A41F0" w:rsidRPr="00AA78E0" w:rsidTr="004A038C">
        <w:tc>
          <w:tcPr>
            <w:tcW w:w="2243" w:type="dxa"/>
            <w:vAlign w:val="center"/>
          </w:tcPr>
          <w:p w:rsidR="007A41F0" w:rsidRPr="00431549" w:rsidRDefault="007A41F0" w:rsidP="00A116B2">
            <w:pPr>
              <w:pStyle w:val="a3"/>
              <w:jc w:val="center"/>
              <w:rPr>
                <w:lang w:val="uk-UA"/>
              </w:rPr>
            </w:pPr>
            <w:r w:rsidRPr="00431549">
              <w:rPr>
                <w:lang w:val="uk-UA"/>
              </w:rPr>
              <w:lastRenderedPageBreak/>
              <w:t xml:space="preserve">Альтернатива </w:t>
            </w:r>
            <w:r w:rsidR="002D434A" w:rsidRPr="00431549">
              <w:rPr>
                <w:lang w:val="uk-UA"/>
              </w:rPr>
              <w:t>2</w:t>
            </w:r>
          </w:p>
        </w:tc>
        <w:tc>
          <w:tcPr>
            <w:tcW w:w="3961" w:type="dxa"/>
          </w:tcPr>
          <w:p w:rsidR="007A41F0" w:rsidRPr="002D4623" w:rsidRDefault="00B64BF0" w:rsidP="00F52C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Збільшення н</w:t>
            </w:r>
            <w:r w:rsidR="00007D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адходжен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 до</w:t>
            </w:r>
            <w:r w:rsidR="00007D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31549" w:rsidRPr="00BF16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цільового фонду соціально-економічного розвитку міста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</w:t>
            </w:r>
            <w:r w:rsidR="004A03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рахунок </w:t>
            </w:r>
            <w:r w:rsidR="00EF1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значного розширення кола учасників електронних торгів 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максимізації </w:t>
            </w:r>
            <w:r w:rsidR="00625D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4A03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4A03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</w:t>
            </w:r>
            <w:r w:rsidR="004A038C" w:rsidRPr="00BF16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</w:t>
            </w:r>
            <w:r w:rsidR="004A03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4A038C" w:rsidRPr="00BF16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4A03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4A038C" w:rsidRPr="00BF16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отриманого</w:t>
            </w:r>
            <w:r w:rsidR="004A03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результаті </w:t>
            </w:r>
            <w:r w:rsidR="00EF1F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їх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проведення. </w:t>
            </w:r>
            <w:r w:rsidR="002D46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Очікувані надходження до бюджету – </w:t>
            </w:r>
            <w:r w:rsidR="009260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понад 943</w:t>
            </w:r>
            <w:r w:rsidR="002D46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тис. грн., що надасть змогу вчасно </w:t>
            </w:r>
            <w:r w:rsidR="00F52C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виконувати </w:t>
            </w:r>
            <w:r w:rsidR="002D46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соціальні та економічні зобов</w:t>
            </w:r>
            <w:r w:rsidR="002D4623" w:rsidRPr="002D46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 w:rsidR="002D46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язання бюджету.</w:t>
            </w:r>
          </w:p>
        </w:tc>
        <w:tc>
          <w:tcPr>
            <w:tcW w:w="3444" w:type="dxa"/>
            <w:vAlign w:val="center"/>
          </w:tcPr>
          <w:p w:rsidR="007A41F0" w:rsidRPr="009433CE" w:rsidRDefault="007A41F0" w:rsidP="00B32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3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</w:tbl>
    <w:p w:rsidR="005D5417" w:rsidRPr="00AA78E0" w:rsidRDefault="005D5417" w:rsidP="00027D9C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  <w:lang w:val="uk-UA"/>
        </w:rPr>
      </w:pPr>
    </w:p>
    <w:p w:rsidR="00DC0DCD" w:rsidRDefault="00DC0DCD" w:rsidP="00BB09D5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6124E3" w:rsidRPr="005A64E2" w:rsidRDefault="006124E3" w:rsidP="00BB09D5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  <w:r w:rsidRPr="005A64E2">
        <w:rPr>
          <w:sz w:val="28"/>
          <w:szCs w:val="28"/>
          <w:lang w:val="uk-UA"/>
        </w:rPr>
        <w:t>Оцінка впливу на сферу інтересів суб'єктів господарювання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1243"/>
        <w:gridCol w:w="1734"/>
        <w:gridCol w:w="1843"/>
      </w:tblGrid>
      <w:tr w:rsidR="00AF016A" w:rsidRPr="007F6C5E" w:rsidTr="00AF016A">
        <w:trPr>
          <w:trHeight w:val="465"/>
        </w:trPr>
        <w:tc>
          <w:tcPr>
            <w:tcW w:w="4786" w:type="dxa"/>
            <w:vAlign w:val="center"/>
          </w:tcPr>
          <w:p w:rsidR="00AF016A" w:rsidRPr="007F6C5E" w:rsidRDefault="00AF016A" w:rsidP="002F0F3A">
            <w:pPr>
              <w:pStyle w:val="a3"/>
              <w:jc w:val="center"/>
              <w:rPr>
                <w:lang w:val="uk-UA"/>
              </w:rPr>
            </w:pPr>
            <w:r w:rsidRPr="007F6C5E">
              <w:rPr>
                <w:lang w:val="uk-UA"/>
              </w:rPr>
              <w:t>Показник</w:t>
            </w:r>
          </w:p>
        </w:tc>
        <w:tc>
          <w:tcPr>
            <w:tcW w:w="1243" w:type="dxa"/>
            <w:vAlign w:val="center"/>
          </w:tcPr>
          <w:p w:rsidR="00AF016A" w:rsidRPr="007F6C5E" w:rsidRDefault="00AF016A" w:rsidP="002F0F3A">
            <w:pPr>
              <w:pStyle w:val="a3"/>
              <w:jc w:val="center"/>
              <w:rPr>
                <w:lang w:val="uk-UA"/>
              </w:rPr>
            </w:pPr>
            <w:r w:rsidRPr="007F6C5E">
              <w:rPr>
                <w:lang w:val="uk-UA"/>
              </w:rPr>
              <w:t>Малі*</w:t>
            </w:r>
          </w:p>
        </w:tc>
        <w:tc>
          <w:tcPr>
            <w:tcW w:w="1734" w:type="dxa"/>
            <w:vAlign w:val="center"/>
          </w:tcPr>
          <w:p w:rsidR="00AF016A" w:rsidRPr="007F6C5E" w:rsidRDefault="00AF016A" w:rsidP="002F0F3A">
            <w:pPr>
              <w:pStyle w:val="a3"/>
              <w:jc w:val="center"/>
              <w:rPr>
                <w:lang w:val="uk-UA"/>
              </w:rPr>
            </w:pPr>
            <w:r w:rsidRPr="007F6C5E">
              <w:rPr>
                <w:lang w:val="uk-UA"/>
              </w:rPr>
              <w:t>Мікро*</w:t>
            </w:r>
          </w:p>
        </w:tc>
        <w:tc>
          <w:tcPr>
            <w:tcW w:w="1843" w:type="dxa"/>
            <w:vAlign w:val="center"/>
          </w:tcPr>
          <w:p w:rsidR="00AF016A" w:rsidRPr="007F6C5E" w:rsidRDefault="00AF016A" w:rsidP="002F0F3A">
            <w:pPr>
              <w:pStyle w:val="a3"/>
              <w:jc w:val="center"/>
              <w:rPr>
                <w:lang w:val="uk-UA"/>
              </w:rPr>
            </w:pPr>
            <w:r w:rsidRPr="007F6C5E">
              <w:rPr>
                <w:lang w:val="uk-UA"/>
              </w:rPr>
              <w:t>Разом</w:t>
            </w:r>
          </w:p>
        </w:tc>
      </w:tr>
      <w:tr w:rsidR="00AF016A" w:rsidRPr="007F6C5E" w:rsidTr="00AF016A">
        <w:trPr>
          <w:trHeight w:val="1252"/>
        </w:trPr>
        <w:tc>
          <w:tcPr>
            <w:tcW w:w="4786" w:type="dxa"/>
            <w:vAlign w:val="center"/>
          </w:tcPr>
          <w:p w:rsidR="00AF016A" w:rsidRPr="007F6C5E" w:rsidRDefault="00AF016A" w:rsidP="002F0F3A">
            <w:pPr>
              <w:pStyle w:val="a3"/>
              <w:rPr>
                <w:lang w:val="uk-UA"/>
              </w:rPr>
            </w:pPr>
            <w:r w:rsidRPr="007F6C5E">
              <w:rPr>
                <w:lang w:val="uk-UA"/>
              </w:rPr>
              <w:t>Кількість суб'єктів господарювання, що підпадають під дію регулювання, одиниць</w:t>
            </w:r>
          </w:p>
        </w:tc>
        <w:tc>
          <w:tcPr>
            <w:tcW w:w="1243" w:type="dxa"/>
            <w:vAlign w:val="center"/>
          </w:tcPr>
          <w:p w:rsidR="00AF016A" w:rsidRPr="00886C2C" w:rsidRDefault="00AF016A" w:rsidP="005351E2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886C2C">
              <w:rPr>
                <w:lang w:val="en-US"/>
              </w:rPr>
              <w:t>11</w:t>
            </w:r>
            <w:r w:rsidRPr="00886C2C">
              <w:rPr>
                <w:lang w:val="uk-UA"/>
              </w:rPr>
              <w:t>3</w:t>
            </w:r>
          </w:p>
        </w:tc>
        <w:tc>
          <w:tcPr>
            <w:tcW w:w="1734" w:type="dxa"/>
            <w:vAlign w:val="center"/>
          </w:tcPr>
          <w:p w:rsidR="00AF016A" w:rsidRPr="00886C2C" w:rsidRDefault="00AF016A" w:rsidP="005351E2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886C2C">
              <w:rPr>
                <w:lang w:val="en-US"/>
              </w:rPr>
              <w:t>71</w:t>
            </w:r>
            <w:r w:rsidRPr="00886C2C">
              <w:rPr>
                <w:lang w:val="uk-UA"/>
              </w:rPr>
              <w:t>3</w:t>
            </w:r>
          </w:p>
        </w:tc>
        <w:tc>
          <w:tcPr>
            <w:tcW w:w="1843" w:type="dxa"/>
            <w:vAlign w:val="center"/>
          </w:tcPr>
          <w:p w:rsidR="00AF016A" w:rsidRPr="00886C2C" w:rsidRDefault="00AF016A" w:rsidP="00AF01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886C2C">
              <w:rPr>
                <w:lang w:val="en-US"/>
              </w:rPr>
              <w:t>8</w:t>
            </w:r>
            <w:r w:rsidRPr="00886C2C">
              <w:rPr>
                <w:lang w:val="uk-UA"/>
              </w:rPr>
              <w:t>26</w:t>
            </w:r>
          </w:p>
        </w:tc>
      </w:tr>
      <w:tr w:rsidR="00AF016A" w:rsidRPr="007F6C5E" w:rsidTr="00AF016A">
        <w:trPr>
          <w:trHeight w:val="986"/>
        </w:trPr>
        <w:tc>
          <w:tcPr>
            <w:tcW w:w="4786" w:type="dxa"/>
            <w:vAlign w:val="center"/>
          </w:tcPr>
          <w:p w:rsidR="00AF016A" w:rsidRPr="007F6C5E" w:rsidRDefault="00AF016A" w:rsidP="002F0F3A">
            <w:pPr>
              <w:pStyle w:val="a3"/>
              <w:rPr>
                <w:lang w:val="uk-UA"/>
              </w:rPr>
            </w:pPr>
            <w:r w:rsidRPr="007F6C5E">
              <w:rPr>
                <w:lang w:val="uk-UA"/>
              </w:rPr>
              <w:t>Питома вага групи у загальній кількості, відсотків</w:t>
            </w:r>
          </w:p>
        </w:tc>
        <w:tc>
          <w:tcPr>
            <w:tcW w:w="1243" w:type="dxa"/>
            <w:vAlign w:val="center"/>
          </w:tcPr>
          <w:p w:rsidR="00AF016A" w:rsidRPr="007F6C5E" w:rsidRDefault="00AF016A" w:rsidP="00AF016A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7F6C5E">
              <w:rPr>
                <w:lang w:val="en-US"/>
              </w:rPr>
              <w:t>13</w:t>
            </w:r>
            <w:r>
              <w:rPr>
                <w:lang w:val="uk-UA"/>
              </w:rPr>
              <w:t>,7</w:t>
            </w:r>
          </w:p>
        </w:tc>
        <w:tc>
          <w:tcPr>
            <w:tcW w:w="1734" w:type="dxa"/>
            <w:vAlign w:val="center"/>
          </w:tcPr>
          <w:p w:rsidR="00AF016A" w:rsidRPr="00AF016A" w:rsidRDefault="00AF016A" w:rsidP="005351E2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86,3</w:t>
            </w:r>
          </w:p>
        </w:tc>
        <w:tc>
          <w:tcPr>
            <w:tcW w:w="1843" w:type="dxa"/>
            <w:vAlign w:val="center"/>
          </w:tcPr>
          <w:p w:rsidR="00AF016A" w:rsidRPr="007F6C5E" w:rsidRDefault="00AF016A" w:rsidP="00E34A83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7F6C5E">
              <w:rPr>
                <w:lang w:val="uk-UA"/>
              </w:rPr>
              <w:t>100</w:t>
            </w:r>
          </w:p>
        </w:tc>
      </w:tr>
    </w:tbl>
    <w:p w:rsidR="002F0F3A" w:rsidRPr="00AA78E0" w:rsidRDefault="002F0F3A" w:rsidP="00537878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  <w:lang w:val="uk-UA"/>
        </w:rPr>
      </w:pPr>
    </w:p>
    <w:p w:rsidR="00075E08" w:rsidRPr="00DC66EF" w:rsidRDefault="00661EE2" w:rsidP="00537878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DC66EF">
        <w:rPr>
          <w:lang w:val="uk-UA"/>
        </w:rPr>
        <w:t>*</w:t>
      </w:r>
      <w:r w:rsidR="00BB09D5" w:rsidRPr="00DC66EF">
        <w:rPr>
          <w:lang w:val="uk-UA"/>
        </w:rPr>
        <w:t>Дані о</w:t>
      </w:r>
      <w:r w:rsidRPr="00DC66EF">
        <w:rPr>
          <w:lang w:val="uk-UA"/>
        </w:rPr>
        <w:t xml:space="preserve">тримано на підставі </w:t>
      </w:r>
      <w:r w:rsidR="007F6C5E" w:rsidRPr="00DC66EF">
        <w:rPr>
          <w:lang w:val="uk-UA"/>
        </w:rPr>
        <w:t>даних</w:t>
      </w:r>
      <w:r w:rsidR="00F6369F">
        <w:rPr>
          <w:lang w:val="uk-UA"/>
        </w:rPr>
        <w:t xml:space="preserve"> Головного управління статистики у Чернівецькій області щодо </w:t>
      </w:r>
      <w:r w:rsidR="007F6C5E" w:rsidRPr="00DC66EF">
        <w:rPr>
          <w:lang w:val="uk-UA"/>
        </w:rPr>
        <w:t xml:space="preserve">кількості підприємств, </w:t>
      </w:r>
      <w:r w:rsidR="00215F60" w:rsidRPr="00DC66EF">
        <w:rPr>
          <w:lang w:val="uk-UA"/>
        </w:rPr>
        <w:t xml:space="preserve">діяльність яких пов’язана з </w:t>
      </w:r>
      <w:r w:rsidR="007F6C5E" w:rsidRPr="00DC66EF">
        <w:rPr>
          <w:lang w:val="uk-UA"/>
        </w:rPr>
        <w:t>оптово</w:t>
      </w:r>
      <w:r w:rsidR="00215F60" w:rsidRPr="00DC66EF">
        <w:rPr>
          <w:lang w:val="uk-UA"/>
        </w:rPr>
        <w:t>ю</w:t>
      </w:r>
      <w:r w:rsidR="007F6C5E" w:rsidRPr="00DC66EF">
        <w:rPr>
          <w:lang w:val="uk-UA"/>
        </w:rPr>
        <w:t xml:space="preserve"> та роздрібно</w:t>
      </w:r>
      <w:r w:rsidR="00215F60" w:rsidRPr="00DC66EF">
        <w:rPr>
          <w:lang w:val="uk-UA"/>
        </w:rPr>
        <w:t>ю</w:t>
      </w:r>
      <w:r w:rsidR="007F6C5E" w:rsidRPr="00DC66EF">
        <w:rPr>
          <w:lang w:val="uk-UA"/>
        </w:rPr>
        <w:t xml:space="preserve"> торгівл</w:t>
      </w:r>
      <w:r w:rsidR="00215F60" w:rsidRPr="00DC66EF">
        <w:rPr>
          <w:lang w:val="uk-UA"/>
        </w:rPr>
        <w:t xml:space="preserve">ею </w:t>
      </w:r>
      <w:r w:rsidR="00564A2B" w:rsidRPr="00DC66EF">
        <w:rPr>
          <w:lang w:val="uk-UA"/>
        </w:rPr>
        <w:t>у 2</w:t>
      </w:r>
      <w:r w:rsidR="00F6369F">
        <w:rPr>
          <w:lang w:val="uk-UA"/>
        </w:rPr>
        <w:t>018 році</w:t>
      </w:r>
      <w:r w:rsidR="00C85352">
        <w:rPr>
          <w:lang w:val="uk-UA"/>
        </w:rPr>
        <w:t xml:space="preserve"> (станом на 04.11.2019 року)</w:t>
      </w:r>
      <w:r w:rsidR="00F6369F">
        <w:rPr>
          <w:lang w:val="uk-UA"/>
        </w:rPr>
        <w:t>.</w:t>
      </w:r>
      <w:r w:rsidR="002E24A9" w:rsidRPr="00DC66EF">
        <w:rPr>
          <w:lang w:val="uk-UA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43"/>
        <w:gridCol w:w="4129"/>
        <w:gridCol w:w="3276"/>
      </w:tblGrid>
      <w:tr w:rsidR="00075E08" w:rsidRPr="00007DA2" w:rsidTr="002F0F3A">
        <w:trPr>
          <w:trHeight w:val="396"/>
        </w:trPr>
        <w:tc>
          <w:tcPr>
            <w:tcW w:w="2243" w:type="dxa"/>
            <w:vAlign w:val="center"/>
          </w:tcPr>
          <w:p w:rsidR="00075E08" w:rsidRPr="00007DA2" w:rsidRDefault="00075E08" w:rsidP="002F0F3A">
            <w:pPr>
              <w:pStyle w:val="a3"/>
              <w:jc w:val="center"/>
              <w:rPr>
                <w:lang w:val="uk-UA"/>
              </w:rPr>
            </w:pPr>
            <w:r w:rsidRPr="00007DA2">
              <w:rPr>
                <w:lang w:val="uk-UA"/>
              </w:rPr>
              <w:t>Вид альтернативи</w:t>
            </w:r>
          </w:p>
        </w:tc>
        <w:tc>
          <w:tcPr>
            <w:tcW w:w="4129" w:type="dxa"/>
            <w:vAlign w:val="center"/>
          </w:tcPr>
          <w:p w:rsidR="00075E08" w:rsidRPr="00007DA2" w:rsidRDefault="00075E08" w:rsidP="002F0F3A">
            <w:pPr>
              <w:pStyle w:val="a3"/>
              <w:jc w:val="center"/>
              <w:rPr>
                <w:lang w:val="uk-UA"/>
              </w:rPr>
            </w:pPr>
            <w:r w:rsidRPr="00007DA2">
              <w:rPr>
                <w:lang w:val="uk-UA"/>
              </w:rPr>
              <w:t>Вигоди</w:t>
            </w:r>
          </w:p>
        </w:tc>
        <w:tc>
          <w:tcPr>
            <w:tcW w:w="3276" w:type="dxa"/>
            <w:vAlign w:val="center"/>
          </w:tcPr>
          <w:p w:rsidR="00075E08" w:rsidRPr="00007DA2" w:rsidRDefault="00075E08" w:rsidP="002F0F3A">
            <w:pPr>
              <w:pStyle w:val="a3"/>
              <w:jc w:val="center"/>
              <w:rPr>
                <w:lang w:val="uk-UA"/>
              </w:rPr>
            </w:pPr>
            <w:r w:rsidRPr="00007DA2">
              <w:rPr>
                <w:lang w:val="uk-UA"/>
              </w:rPr>
              <w:t>Витрати</w:t>
            </w:r>
          </w:p>
        </w:tc>
      </w:tr>
      <w:tr w:rsidR="00075E08" w:rsidRPr="00AA78E0" w:rsidTr="001F1CF7">
        <w:trPr>
          <w:trHeight w:val="1208"/>
        </w:trPr>
        <w:tc>
          <w:tcPr>
            <w:tcW w:w="2243" w:type="dxa"/>
            <w:vAlign w:val="center"/>
          </w:tcPr>
          <w:p w:rsidR="00075E08" w:rsidRPr="00A174FC" w:rsidRDefault="00075E08" w:rsidP="00A116B2">
            <w:pPr>
              <w:pStyle w:val="a3"/>
              <w:jc w:val="center"/>
              <w:rPr>
                <w:lang w:val="uk-UA"/>
              </w:rPr>
            </w:pPr>
            <w:r w:rsidRPr="00A174FC">
              <w:rPr>
                <w:lang w:val="uk-UA"/>
              </w:rPr>
              <w:t>Альтернатива 1</w:t>
            </w:r>
          </w:p>
        </w:tc>
        <w:tc>
          <w:tcPr>
            <w:tcW w:w="4129" w:type="dxa"/>
          </w:tcPr>
          <w:p w:rsidR="00E4442C" w:rsidRPr="00D0428B" w:rsidRDefault="00F13DAA" w:rsidP="00926EF7">
            <w:pPr>
              <w:pStyle w:val="a3"/>
              <w:spacing w:before="0" w:beforeAutospacing="0" w:after="0" w:afterAutospacing="0"/>
              <w:jc w:val="center"/>
              <w:rPr>
                <w:color w:val="FF0000"/>
                <w:highlight w:val="yellow"/>
                <w:lang w:val="uk-UA"/>
              </w:rPr>
            </w:pPr>
            <w:r w:rsidRPr="00952373">
              <w:rPr>
                <w:lang w:val="uk-UA"/>
              </w:rPr>
              <w:t>Відсутні</w:t>
            </w:r>
            <w:r w:rsidR="002D4623" w:rsidRPr="00952373">
              <w:rPr>
                <w:lang w:val="uk-UA"/>
              </w:rPr>
              <w:t>, оскільки немає можливості отримати місце для встановлення пункту продажу і організації торгівлі на території ринку</w:t>
            </w:r>
          </w:p>
        </w:tc>
        <w:tc>
          <w:tcPr>
            <w:tcW w:w="3276" w:type="dxa"/>
          </w:tcPr>
          <w:p w:rsidR="000F16FC" w:rsidRPr="00F13DAA" w:rsidRDefault="00F13DAA" w:rsidP="00B32EC4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F13DAA">
              <w:rPr>
                <w:rFonts w:eastAsia="Times New Roman"/>
                <w:lang w:val="uk-UA" w:eastAsia="uk-UA"/>
              </w:rPr>
              <w:t>Низький рівень відкритості, доступності</w:t>
            </w:r>
            <w:r>
              <w:rPr>
                <w:rFonts w:eastAsia="Times New Roman"/>
                <w:lang w:val="uk-UA" w:eastAsia="uk-UA"/>
              </w:rPr>
              <w:t xml:space="preserve"> до</w:t>
            </w:r>
            <w:r w:rsidRPr="00F13DAA">
              <w:rPr>
                <w:rFonts w:eastAsia="Times New Roman"/>
                <w:lang w:val="uk-UA" w:eastAsia="uk-UA"/>
              </w:rPr>
              <w:t xml:space="preserve"> конкурсних процедур</w:t>
            </w:r>
            <w:r>
              <w:rPr>
                <w:rFonts w:eastAsia="Times New Roman"/>
                <w:lang w:val="uk-UA" w:eastAsia="uk-UA"/>
              </w:rPr>
              <w:t>, що створює нерівні конкурентні умови</w:t>
            </w:r>
            <w:r w:rsidR="00D8003F">
              <w:rPr>
                <w:rFonts w:eastAsia="Times New Roman"/>
                <w:lang w:val="uk-UA" w:eastAsia="uk-UA"/>
              </w:rPr>
              <w:t>.</w:t>
            </w:r>
          </w:p>
        </w:tc>
      </w:tr>
      <w:tr w:rsidR="00075E08" w:rsidRPr="002E6708" w:rsidTr="002F0F3A">
        <w:trPr>
          <w:trHeight w:val="976"/>
        </w:trPr>
        <w:tc>
          <w:tcPr>
            <w:tcW w:w="2243" w:type="dxa"/>
            <w:vAlign w:val="center"/>
          </w:tcPr>
          <w:p w:rsidR="00075E08" w:rsidRPr="00A174FC" w:rsidRDefault="00075E08" w:rsidP="00A116B2">
            <w:pPr>
              <w:pStyle w:val="a3"/>
              <w:jc w:val="center"/>
              <w:rPr>
                <w:lang w:val="uk-UA"/>
              </w:rPr>
            </w:pPr>
            <w:r w:rsidRPr="00A174FC">
              <w:rPr>
                <w:lang w:val="uk-UA"/>
              </w:rPr>
              <w:t xml:space="preserve">Альтернатива </w:t>
            </w:r>
            <w:r w:rsidR="00FF52F0" w:rsidRPr="00A174FC">
              <w:rPr>
                <w:lang w:val="uk-UA"/>
              </w:rPr>
              <w:t>2</w:t>
            </w:r>
          </w:p>
        </w:tc>
        <w:tc>
          <w:tcPr>
            <w:tcW w:w="4129" w:type="dxa"/>
          </w:tcPr>
          <w:p w:rsidR="00075E08" w:rsidRPr="00A174FC" w:rsidRDefault="00A174FC" w:rsidP="00926EF7">
            <w:pPr>
              <w:pStyle w:val="a3"/>
              <w:jc w:val="center"/>
              <w:rPr>
                <w:lang w:val="uk-UA"/>
              </w:rPr>
            </w:pPr>
            <w:r w:rsidRPr="00A174FC">
              <w:rPr>
                <w:lang w:val="uk-UA"/>
              </w:rPr>
              <w:t>Доступність до інформації про проведення торгів (аукціонів), надання онлайн доступу для потенційних учасників</w:t>
            </w:r>
            <w:r w:rsidR="00F13DAA">
              <w:rPr>
                <w:lang w:val="uk-UA"/>
              </w:rPr>
              <w:t>, створення для них рівних конкурентних умов</w:t>
            </w:r>
            <w:r w:rsidR="00D8003F">
              <w:rPr>
                <w:lang w:val="uk-UA"/>
              </w:rPr>
              <w:t>.</w:t>
            </w:r>
          </w:p>
        </w:tc>
        <w:tc>
          <w:tcPr>
            <w:tcW w:w="3276" w:type="dxa"/>
          </w:tcPr>
          <w:p w:rsidR="002D4623" w:rsidRPr="006E24CA" w:rsidRDefault="00B562AE" w:rsidP="00B32EC4">
            <w:pPr>
              <w:pStyle w:val="a3"/>
              <w:jc w:val="center"/>
              <w:rPr>
                <w:highlight w:val="yellow"/>
                <w:lang w:val="uk-UA"/>
              </w:rPr>
            </w:pPr>
            <w:r w:rsidRPr="0092609C">
              <w:rPr>
                <w:lang w:val="uk-UA"/>
              </w:rPr>
              <w:t>Незначні, пов'язані зі сплатою</w:t>
            </w:r>
            <w:r w:rsidR="006C0649" w:rsidRPr="0092609C">
              <w:rPr>
                <w:lang w:val="uk-UA"/>
              </w:rPr>
              <w:t xml:space="preserve"> суб'єктом господарювання</w:t>
            </w:r>
            <w:r w:rsidR="00CD19F7" w:rsidRPr="0092609C">
              <w:rPr>
                <w:lang w:val="uk-UA"/>
              </w:rPr>
              <w:t xml:space="preserve"> обов'язкових</w:t>
            </w:r>
            <w:r w:rsidRPr="0092609C">
              <w:rPr>
                <w:lang w:val="uk-UA"/>
              </w:rPr>
              <w:t xml:space="preserve"> внесків за реєстрацію в системі</w:t>
            </w:r>
            <w:r w:rsidR="006C0649" w:rsidRPr="0092609C">
              <w:rPr>
                <w:lang w:val="uk-UA"/>
              </w:rPr>
              <w:t xml:space="preserve"> </w:t>
            </w:r>
            <w:r w:rsidR="006C0649" w:rsidRPr="0092609C">
              <w:t>ProZorro</w:t>
            </w:r>
            <w:r w:rsidR="006C0649" w:rsidRPr="0092609C">
              <w:rPr>
                <w:lang w:val="uk-UA"/>
              </w:rPr>
              <w:t>.Продажі</w:t>
            </w:r>
            <w:r w:rsidR="00D8003F" w:rsidRPr="0092609C">
              <w:rPr>
                <w:lang w:val="uk-UA"/>
              </w:rPr>
              <w:t>.</w:t>
            </w:r>
            <w:r w:rsidR="002D4623" w:rsidRPr="0092609C">
              <w:rPr>
                <w:lang w:val="uk-UA"/>
              </w:rPr>
              <w:t xml:space="preserve"> Часові витрати на ознайомлення і участь у електронному </w:t>
            </w:r>
            <w:r w:rsidR="002D4623" w:rsidRPr="00BF20F6">
              <w:rPr>
                <w:lang w:val="uk-UA"/>
              </w:rPr>
              <w:t>аукціоні</w:t>
            </w:r>
            <w:r w:rsidR="00BF20F6">
              <w:rPr>
                <w:lang w:val="uk-UA"/>
              </w:rPr>
              <w:t xml:space="preserve"> -</w:t>
            </w:r>
            <w:r w:rsidR="00BF20F6" w:rsidRPr="00BF20F6">
              <w:rPr>
                <w:lang w:val="uk-UA"/>
              </w:rPr>
              <w:t xml:space="preserve"> 63106,4</w:t>
            </w:r>
            <w:r w:rsidR="0044141B" w:rsidRPr="00BF20F6">
              <w:rPr>
                <w:lang w:val="uk-UA"/>
              </w:rPr>
              <w:t xml:space="preserve"> грн. (у випадку реєстрації </w:t>
            </w:r>
            <w:r w:rsidR="00BF20F6">
              <w:rPr>
                <w:lang w:val="uk-UA"/>
              </w:rPr>
              <w:t xml:space="preserve">і участі </w:t>
            </w:r>
            <w:r w:rsidR="0044141B" w:rsidRPr="00BF20F6">
              <w:rPr>
                <w:lang w:val="uk-UA"/>
              </w:rPr>
              <w:t>всіх суб'єктів</w:t>
            </w:r>
            <w:r w:rsidR="00BF20F6" w:rsidRPr="00BF20F6">
              <w:rPr>
                <w:lang w:val="uk-UA"/>
              </w:rPr>
              <w:t xml:space="preserve"> в аукціоні </w:t>
            </w:r>
            <w:r w:rsidR="0044141B" w:rsidRPr="00BF20F6">
              <w:rPr>
                <w:lang w:val="uk-UA"/>
              </w:rPr>
              <w:t xml:space="preserve"> </w:t>
            </w:r>
            <w:r w:rsidR="00BF20F6" w:rsidRPr="00BF20F6">
              <w:rPr>
                <w:lang w:val="uk-UA"/>
              </w:rPr>
              <w:t xml:space="preserve">на </w:t>
            </w:r>
            <w:r w:rsidR="00D265CF" w:rsidRPr="00BF20F6">
              <w:rPr>
                <w:lang w:val="uk-UA"/>
              </w:rPr>
              <w:t>один об’єкт)</w:t>
            </w:r>
          </w:p>
        </w:tc>
      </w:tr>
    </w:tbl>
    <w:p w:rsidR="009F2699" w:rsidRPr="00E43875" w:rsidRDefault="009F2699" w:rsidP="00737C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737CBE" w:rsidRPr="00AA78E0" w:rsidRDefault="00737CBE" w:rsidP="006E2260">
      <w:pPr>
        <w:pStyle w:val="3"/>
        <w:spacing w:before="0" w:beforeAutospacing="0" w:after="0" w:afterAutospacing="0"/>
        <w:jc w:val="center"/>
        <w:rPr>
          <w:rFonts w:eastAsia="Times New Roman"/>
          <w:b w:val="0"/>
          <w:color w:val="FF0000"/>
          <w:sz w:val="28"/>
          <w:szCs w:val="28"/>
          <w:lang w:val="uk-UA"/>
        </w:rPr>
      </w:pPr>
    </w:p>
    <w:p w:rsidR="006124E3" w:rsidRPr="00F036F6" w:rsidRDefault="006124E3" w:rsidP="00CC3817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i/>
          <w:sz w:val="28"/>
          <w:szCs w:val="28"/>
          <w:lang w:val="uk-UA"/>
        </w:rPr>
      </w:pPr>
      <w:r w:rsidRPr="00F036F6">
        <w:rPr>
          <w:rFonts w:eastAsia="Times New Roman"/>
          <w:i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:rsidR="00CC3817" w:rsidRPr="00AA78E0" w:rsidRDefault="00CC3817" w:rsidP="00CC3817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i/>
          <w:color w:val="FF0000"/>
          <w:sz w:val="18"/>
          <w:szCs w:val="18"/>
          <w:lang w:val="uk-UA"/>
        </w:rPr>
      </w:pPr>
    </w:p>
    <w:p w:rsidR="00737CBE" w:rsidRPr="00F036F6" w:rsidRDefault="00737CBE" w:rsidP="00737CBE">
      <w:pPr>
        <w:pStyle w:val="3"/>
        <w:spacing w:before="0" w:beforeAutospacing="0" w:after="0" w:afterAutospacing="0"/>
        <w:ind w:firstLine="709"/>
        <w:jc w:val="both"/>
        <w:rPr>
          <w:rFonts w:eastAsia="Times New Roman"/>
          <w:b w:val="0"/>
          <w:sz w:val="28"/>
          <w:szCs w:val="28"/>
          <w:lang w:val="uk-UA"/>
        </w:rPr>
      </w:pPr>
      <w:r w:rsidRPr="00F036F6">
        <w:rPr>
          <w:rFonts w:eastAsia="Times New Roman"/>
          <w:b w:val="0"/>
          <w:sz w:val="28"/>
          <w:szCs w:val="28"/>
          <w:lang w:val="uk-UA"/>
        </w:rPr>
        <w:t>Єдиним способом розв’язання вищезазначеної проблеми, що відповідає потребам та забезпечує поступове досягнення встановлених цілей, є видання зазначеного регуляторного акту.</w:t>
      </w:r>
    </w:p>
    <w:p w:rsidR="00737CBE" w:rsidRPr="00AA78E0" w:rsidRDefault="00737CBE" w:rsidP="00877B5A">
      <w:pPr>
        <w:pStyle w:val="a7"/>
        <w:ind w:firstLine="708"/>
        <w:jc w:val="both"/>
        <w:rPr>
          <w:b/>
          <w:color w:val="FF0000"/>
          <w:sz w:val="28"/>
          <w:szCs w:val="28"/>
          <w:lang w:val="uk-UA"/>
        </w:rPr>
      </w:pPr>
      <w:r w:rsidRPr="00B6584E">
        <w:rPr>
          <w:sz w:val="28"/>
          <w:szCs w:val="28"/>
          <w:lang w:val="uk-UA"/>
        </w:rPr>
        <w:t xml:space="preserve">Обраний спосіб </w:t>
      </w:r>
      <w:r w:rsidR="00877B5A">
        <w:rPr>
          <w:sz w:val="28"/>
          <w:szCs w:val="28"/>
          <w:lang w:val="uk-UA"/>
        </w:rPr>
        <w:t>розроблений з урахуванням вимог р</w:t>
      </w:r>
      <w:r w:rsidR="00B6584E" w:rsidRPr="00B6584E">
        <w:rPr>
          <w:sz w:val="28"/>
          <w:szCs w:val="28"/>
          <w:lang w:val="uk-UA"/>
        </w:rPr>
        <w:t xml:space="preserve">ішенням Чернівецької міської ради </w:t>
      </w:r>
      <w:r w:rsidR="00B6584E" w:rsidRPr="00B6584E">
        <w:rPr>
          <w:sz w:val="28"/>
          <w:szCs w:val="28"/>
          <w:lang w:val="en-US"/>
        </w:rPr>
        <w:t>V</w:t>
      </w:r>
      <w:r w:rsidR="00B6584E" w:rsidRPr="00B6584E">
        <w:rPr>
          <w:sz w:val="28"/>
          <w:szCs w:val="28"/>
          <w:lang w:val="uk-UA"/>
        </w:rPr>
        <w:t>І скликання від 26.02.2015р. №1518 «Про запобігання корупційним діянням на комунальному підприємстві «Міський торговельний комплекс «Калинівський ринок»</w:t>
      </w:r>
      <w:r w:rsidR="00877B5A">
        <w:rPr>
          <w:sz w:val="28"/>
          <w:szCs w:val="28"/>
          <w:lang w:val="uk-UA"/>
        </w:rPr>
        <w:t xml:space="preserve"> і відповідає вимогам чинного законодавства.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06"/>
        <w:gridCol w:w="3148"/>
        <w:gridCol w:w="3200"/>
      </w:tblGrid>
      <w:tr w:rsidR="00AE3AC9" w:rsidRPr="00AA78E0" w:rsidTr="009C0EDD">
        <w:tc>
          <w:tcPr>
            <w:tcW w:w="3506" w:type="dxa"/>
          </w:tcPr>
          <w:p w:rsidR="00AE3AC9" w:rsidRPr="00D8003F" w:rsidRDefault="00AE3AC9" w:rsidP="00AE3AC9">
            <w:pPr>
              <w:pStyle w:val="a3"/>
              <w:jc w:val="center"/>
              <w:rPr>
                <w:lang w:val="uk-UA"/>
              </w:rPr>
            </w:pPr>
            <w:r w:rsidRPr="00D8003F">
              <w:rPr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48" w:type="dxa"/>
          </w:tcPr>
          <w:p w:rsidR="00AE3AC9" w:rsidRPr="00D8003F" w:rsidRDefault="00AE3AC9" w:rsidP="00AE3AC9">
            <w:pPr>
              <w:pStyle w:val="a3"/>
              <w:jc w:val="center"/>
              <w:rPr>
                <w:lang w:val="uk-UA"/>
              </w:rPr>
            </w:pPr>
            <w:r w:rsidRPr="00D8003F">
              <w:rPr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3200" w:type="dxa"/>
          </w:tcPr>
          <w:p w:rsidR="00AE3AC9" w:rsidRPr="00D8003F" w:rsidRDefault="00AE3AC9" w:rsidP="00AE3AC9">
            <w:pPr>
              <w:pStyle w:val="a3"/>
              <w:jc w:val="center"/>
              <w:rPr>
                <w:lang w:val="uk-UA"/>
              </w:rPr>
            </w:pPr>
            <w:r w:rsidRPr="00D8003F">
              <w:rPr>
                <w:lang w:val="uk-UA"/>
              </w:rPr>
              <w:t>Коментарі щодо присвоєння відповідного бала</w:t>
            </w:r>
          </w:p>
        </w:tc>
      </w:tr>
      <w:tr w:rsidR="00AE3AC9" w:rsidRPr="004B605E" w:rsidTr="00A116B2">
        <w:tc>
          <w:tcPr>
            <w:tcW w:w="3506" w:type="dxa"/>
            <w:vAlign w:val="center"/>
          </w:tcPr>
          <w:p w:rsidR="00AE3AC9" w:rsidRPr="00D8003F" w:rsidRDefault="00AE3AC9" w:rsidP="00B32EC4">
            <w:pPr>
              <w:pStyle w:val="a3"/>
              <w:jc w:val="center"/>
              <w:rPr>
                <w:lang w:val="uk-UA"/>
              </w:rPr>
            </w:pPr>
            <w:r w:rsidRPr="00D8003F">
              <w:rPr>
                <w:lang w:val="uk-UA"/>
              </w:rPr>
              <w:t>Альтернатива 1</w:t>
            </w:r>
          </w:p>
        </w:tc>
        <w:tc>
          <w:tcPr>
            <w:tcW w:w="3148" w:type="dxa"/>
            <w:vAlign w:val="center"/>
          </w:tcPr>
          <w:p w:rsidR="00AE3AC9" w:rsidRPr="00D8003F" w:rsidRDefault="0092609C" w:rsidP="00B32EC4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200" w:type="dxa"/>
          </w:tcPr>
          <w:p w:rsidR="005D5417" w:rsidRPr="00D8003F" w:rsidRDefault="00D8003F" w:rsidP="00B32EC4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8003F">
              <w:rPr>
                <w:lang w:val="uk-UA"/>
              </w:rPr>
              <w:t>Альтернатива є неприйнятною, оскільки є застарілою та не сприяє досягненню основних цілей регуляторного акта</w:t>
            </w:r>
            <w:r w:rsidR="00537C43">
              <w:rPr>
                <w:lang w:val="uk-UA"/>
              </w:rPr>
              <w:t>.</w:t>
            </w:r>
          </w:p>
        </w:tc>
      </w:tr>
      <w:tr w:rsidR="00D8003F" w:rsidRPr="003F09F9" w:rsidTr="00A116B2">
        <w:tc>
          <w:tcPr>
            <w:tcW w:w="3506" w:type="dxa"/>
            <w:vAlign w:val="center"/>
          </w:tcPr>
          <w:p w:rsidR="00D8003F" w:rsidRPr="00D8003F" w:rsidRDefault="00D8003F" w:rsidP="00B32EC4">
            <w:pPr>
              <w:pStyle w:val="a3"/>
              <w:jc w:val="center"/>
              <w:rPr>
                <w:lang w:val="uk-UA"/>
              </w:rPr>
            </w:pPr>
            <w:r w:rsidRPr="00D8003F">
              <w:rPr>
                <w:lang w:val="uk-UA"/>
              </w:rPr>
              <w:t>Альтернатива 2</w:t>
            </w:r>
          </w:p>
        </w:tc>
        <w:tc>
          <w:tcPr>
            <w:tcW w:w="3148" w:type="dxa"/>
            <w:vAlign w:val="center"/>
          </w:tcPr>
          <w:p w:rsidR="00D8003F" w:rsidRPr="00D8003F" w:rsidRDefault="00D8003F" w:rsidP="00B32EC4">
            <w:pPr>
              <w:pStyle w:val="a3"/>
              <w:jc w:val="center"/>
              <w:rPr>
                <w:lang w:val="uk-UA"/>
              </w:rPr>
            </w:pPr>
            <w:r w:rsidRPr="00D8003F">
              <w:rPr>
                <w:lang w:val="uk-UA"/>
              </w:rPr>
              <w:t>4</w:t>
            </w:r>
          </w:p>
        </w:tc>
        <w:tc>
          <w:tcPr>
            <w:tcW w:w="3200" w:type="dxa"/>
          </w:tcPr>
          <w:p w:rsidR="00D8003F" w:rsidRPr="00D8003F" w:rsidRDefault="00D8003F" w:rsidP="00B32EC4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8003F">
              <w:rPr>
                <w:lang w:val="uk-UA"/>
              </w:rPr>
              <w:t>Альтернатива найбільшою мірою сприятиме досягненню основних цілей регуляторного акта з певними втратами для суб'єктів господарювання, але ці втрати є такими, що виправдовуються вигодами, які виникають внаслідок дії акта.</w:t>
            </w:r>
          </w:p>
        </w:tc>
      </w:tr>
    </w:tbl>
    <w:p w:rsidR="00AE3AC9" w:rsidRDefault="00AE3AC9" w:rsidP="00821720">
      <w:pPr>
        <w:pStyle w:val="a3"/>
        <w:spacing w:before="0" w:beforeAutospacing="0" w:after="0" w:afterAutospacing="0"/>
        <w:jc w:val="both"/>
        <w:rPr>
          <w:color w:val="FF0000"/>
          <w:lang w:val="uk-UA"/>
        </w:rPr>
      </w:pPr>
    </w:p>
    <w:p w:rsidR="00D265CF" w:rsidRDefault="00D265CF" w:rsidP="00821720">
      <w:pPr>
        <w:pStyle w:val="a3"/>
        <w:spacing w:before="0" w:beforeAutospacing="0" w:after="0" w:afterAutospacing="0"/>
        <w:jc w:val="both"/>
        <w:rPr>
          <w:color w:val="FF0000"/>
          <w:lang w:val="uk-UA"/>
        </w:rPr>
      </w:pPr>
    </w:p>
    <w:p w:rsidR="00D265CF" w:rsidRPr="00AA78E0" w:rsidRDefault="00D265CF" w:rsidP="00821720">
      <w:pPr>
        <w:pStyle w:val="a3"/>
        <w:spacing w:before="0" w:beforeAutospacing="0" w:after="0" w:afterAutospacing="0"/>
        <w:jc w:val="both"/>
        <w:rPr>
          <w:color w:val="FF0000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72"/>
        <w:gridCol w:w="3098"/>
        <w:gridCol w:w="2614"/>
        <w:gridCol w:w="2170"/>
      </w:tblGrid>
      <w:tr w:rsidR="00605C5C" w:rsidRPr="00D35F98" w:rsidTr="00A116B2">
        <w:tc>
          <w:tcPr>
            <w:tcW w:w="1972" w:type="dxa"/>
            <w:vAlign w:val="center"/>
          </w:tcPr>
          <w:p w:rsidR="00AE3AC9" w:rsidRPr="00D35F98" w:rsidRDefault="00AE3AC9" w:rsidP="00A116B2">
            <w:pPr>
              <w:pStyle w:val="a3"/>
              <w:jc w:val="center"/>
              <w:rPr>
                <w:lang w:val="uk-UA"/>
              </w:rPr>
            </w:pPr>
            <w:r w:rsidRPr="00D35F98">
              <w:rPr>
                <w:lang w:val="uk-UA"/>
              </w:rPr>
              <w:t>Рейтинг результативності</w:t>
            </w:r>
          </w:p>
        </w:tc>
        <w:tc>
          <w:tcPr>
            <w:tcW w:w="3098" w:type="dxa"/>
            <w:vAlign w:val="center"/>
          </w:tcPr>
          <w:p w:rsidR="00AE3AC9" w:rsidRPr="00D35F98" w:rsidRDefault="00AE3AC9" w:rsidP="00A116B2">
            <w:pPr>
              <w:pStyle w:val="a3"/>
              <w:jc w:val="center"/>
              <w:rPr>
                <w:lang w:val="uk-UA"/>
              </w:rPr>
            </w:pPr>
            <w:r w:rsidRPr="00D35F98">
              <w:rPr>
                <w:lang w:val="uk-UA"/>
              </w:rPr>
              <w:t>Вигоди (підсумок)</w:t>
            </w:r>
          </w:p>
        </w:tc>
        <w:tc>
          <w:tcPr>
            <w:tcW w:w="2614" w:type="dxa"/>
            <w:vAlign w:val="center"/>
          </w:tcPr>
          <w:p w:rsidR="00AE3AC9" w:rsidRPr="00D35F98" w:rsidRDefault="00AE3AC9" w:rsidP="00A116B2">
            <w:pPr>
              <w:pStyle w:val="a3"/>
              <w:jc w:val="center"/>
              <w:rPr>
                <w:lang w:val="uk-UA"/>
              </w:rPr>
            </w:pPr>
            <w:r w:rsidRPr="00D35F98">
              <w:rPr>
                <w:lang w:val="uk-UA"/>
              </w:rPr>
              <w:t>Витрати (підсумок)</w:t>
            </w:r>
          </w:p>
        </w:tc>
        <w:tc>
          <w:tcPr>
            <w:tcW w:w="2170" w:type="dxa"/>
            <w:vAlign w:val="center"/>
          </w:tcPr>
          <w:p w:rsidR="00AE3AC9" w:rsidRPr="00D35F98" w:rsidRDefault="00AE3AC9" w:rsidP="00A116B2">
            <w:pPr>
              <w:pStyle w:val="a3"/>
              <w:jc w:val="center"/>
              <w:rPr>
                <w:lang w:val="uk-UA"/>
              </w:rPr>
            </w:pPr>
            <w:r w:rsidRPr="00D35F98">
              <w:rPr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732A5C" w:rsidRPr="00D35F98" w:rsidTr="00E0232B">
        <w:tc>
          <w:tcPr>
            <w:tcW w:w="1972" w:type="dxa"/>
            <w:vAlign w:val="center"/>
          </w:tcPr>
          <w:p w:rsidR="00732A5C" w:rsidRPr="00D35F98" w:rsidRDefault="00732A5C" w:rsidP="00A116B2">
            <w:pPr>
              <w:pStyle w:val="a3"/>
              <w:jc w:val="center"/>
              <w:rPr>
                <w:lang w:val="uk-UA"/>
              </w:rPr>
            </w:pPr>
            <w:r w:rsidRPr="00D35F98">
              <w:rPr>
                <w:lang w:val="uk-UA"/>
              </w:rPr>
              <w:t>Альтернатива 1</w:t>
            </w:r>
          </w:p>
        </w:tc>
        <w:tc>
          <w:tcPr>
            <w:tcW w:w="3098" w:type="dxa"/>
          </w:tcPr>
          <w:p w:rsidR="00732A5C" w:rsidRPr="00D265CF" w:rsidRDefault="00732A5C" w:rsidP="00E0232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265CF">
              <w:rPr>
                <w:lang w:val="uk-UA"/>
              </w:rPr>
              <w:t>Вигоди відсутні.</w:t>
            </w:r>
          </w:p>
          <w:p w:rsidR="00732A5C" w:rsidRPr="00D265CF" w:rsidRDefault="00732A5C" w:rsidP="00E0232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265CF">
              <w:rPr>
                <w:lang w:val="uk-UA"/>
              </w:rPr>
              <w:t>Конкурси не проводилися, в зв</w:t>
            </w:r>
            <w:r w:rsidRPr="00D265CF">
              <w:t>’</w:t>
            </w:r>
            <w:r w:rsidRPr="00D265CF">
              <w:rPr>
                <w:lang w:val="uk-UA"/>
              </w:rPr>
              <w:t>язку з невідповідністю та неврегульованістю чинних процедур у діючому законодавстві.</w:t>
            </w:r>
          </w:p>
          <w:p w:rsidR="00732A5C" w:rsidRPr="00D265CF" w:rsidRDefault="00732A5C" w:rsidP="00E0232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265CF">
              <w:rPr>
                <w:lang w:val="uk-UA"/>
              </w:rPr>
              <w:t xml:space="preserve">Втрати бюджету складають близько </w:t>
            </w:r>
            <w:r w:rsidR="00D265CF" w:rsidRPr="00D265CF">
              <w:rPr>
                <w:lang w:val="uk-UA"/>
              </w:rPr>
              <w:t>943</w:t>
            </w:r>
            <w:r w:rsidRPr="00D265CF">
              <w:rPr>
                <w:lang w:val="uk-UA"/>
              </w:rPr>
              <w:t xml:space="preserve"> тис. грн.</w:t>
            </w:r>
          </w:p>
          <w:p w:rsidR="00CC2BBF" w:rsidRPr="00D265CF" w:rsidRDefault="00CC2BBF" w:rsidP="00E0232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:rsidR="00CC2BBF" w:rsidRPr="00D265CF" w:rsidRDefault="00CC2BBF" w:rsidP="00E0232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265CF">
              <w:rPr>
                <w:lang w:val="uk-UA"/>
              </w:rPr>
              <w:t>Відсутні, оскільки немає можливості отримати місце для встановлення пункту продажу і організації торгівлі на території ринку</w:t>
            </w:r>
          </w:p>
        </w:tc>
        <w:tc>
          <w:tcPr>
            <w:tcW w:w="2614" w:type="dxa"/>
          </w:tcPr>
          <w:p w:rsidR="00732A5C" w:rsidRPr="00D265CF" w:rsidRDefault="00732A5C" w:rsidP="00E0232B">
            <w:pPr>
              <w:pStyle w:val="a3"/>
              <w:jc w:val="center"/>
              <w:rPr>
                <w:lang w:val="uk-UA"/>
              </w:rPr>
            </w:pPr>
            <w:r w:rsidRPr="00D265CF">
              <w:rPr>
                <w:lang w:val="uk-UA"/>
              </w:rPr>
              <w:t>Низький рівень відкритості та доступності конкурсної процедури.</w:t>
            </w:r>
          </w:p>
          <w:p w:rsidR="00732A5C" w:rsidRPr="00D265CF" w:rsidRDefault="00732A5C" w:rsidP="00E0232B">
            <w:pPr>
              <w:pStyle w:val="a3"/>
              <w:jc w:val="center"/>
              <w:rPr>
                <w:lang w:val="uk-UA"/>
              </w:rPr>
            </w:pPr>
            <w:r w:rsidRPr="00D265CF">
              <w:rPr>
                <w:lang w:val="uk-UA"/>
              </w:rPr>
              <w:t>Не забезпечується надходження у фонд соціально-економічного розвитку і розвиток міської інфраструктури</w:t>
            </w:r>
          </w:p>
          <w:p w:rsidR="00CC2BBF" w:rsidRPr="00D265CF" w:rsidRDefault="00CC2BBF" w:rsidP="00E0232B">
            <w:pPr>
              <w:pStyle w:val="a3"/>
              <w:jc w:val="center"/>
              <w:rPr>
                <w:lang w:val="uk-UA"/>
              </w:rPr>
            </w:pPr>
            <w:r w:rsidRPr="00D265CF">
              <w:rPr>
                <w:rFonts w:eastAsia="Times New Roman"/>
                <w:lang w:val="uk-UA" w:eastAsia="uk-UA"/>
              </w:rPr>
              <w:t xml:space="preserve">Низький рівень відкритості, доступності до </w:t>
            </w:r>
            <w:r w:rsidRPr="00D265CF">
              <w:rPr>
                <w:rFonts w:eastAsia="Times New Roman"/>
                <w:lang w:val="uk-UA" w:eastAsia="uk-UA"/>
              </w:rPr>
              <w:lastRenderedPageBreak/>
              <w:t>конкурсних процедур, що створює нерівні конкурентні умови.</w:t>
            </w:r>
          </w:p>
          <w:p w:rsidR="00732A5C" w:rsidRPr="00D265CF" w:rsidRDefault="00732A5C" w:rsidP="00E0232B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2170" w:type="dxa"/>
          </w:tcPr>
          <w:p w:rsidR="00732A5C" w:rsidRPr="00D35F98" w:rsidRDefault="00732A5C" w:rsidP="005A3756">
            <w:pPr>
              <w:pStyle w:val="a3"/>
              <w:jc w:val="center"/>
              <w:rPr>
                <w:lang w:val="uk-UA"/>
              </w:rPr>
            </w:pPr>
            <w:r w:rsidRPr="00D35F98">
              <w:rPr>
                <w:lang w:val="uk-UA"/>
              </w:rPr>
              <w:lastRenderedPageBreak/>
              <w:t>Не вирішує визначених проблем</w:t>
            </w:r>
          </w:p>
        </w:tc>
      </w:tr>
      <w:tr w:rsidR="00732A5C" w:rsidRPr="00D35F98" w:rsidTr="00E0232B">
        <w:tc>
          <w:tcPr>
            <w:tcW w:w="1972" w:type="dxa"/>
            <w:vAlign w:val="center"/>
          </w:tcPr>
          <w:p w:rsidR="00732A5C" w:rsidRPr="00D265CF" w:rsidRDefault="00732A5C" w:rsidP="00A116B2">
            <w:pPr>
              <w:pStyle w:val="a3"/>
              <w:jc w:val="center"/>
              <w:rPr>
                <w:lang w:val="uk-UA"/>
              </w:rPr>
            </w:pPr>
            <w:r w:rsidRPr="00D265CF">
              <w:rPr>
                <w:lang w:val="uk-UA"/>
              </w:rPr>
              <w:lastRenderedPageBreak/>
              <w:t>Альтернатива 2</w:t>
            </w:r>
          </w:p>
        </w:tc>
        <w:tc>
          <w:tcPr>
            <w:tcW w:w="3098" w:type="dxa"/>
          </w:tcPr>
          <w:p w:rsidR="00732A5C" w:rsidRPr="00D265CF" w:rsidRDefault="00732A5C" w:rsidP="00E02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65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Високий рівень відкритості та прозорості. Створення умов для добросовісної конкуренції. Мінімізація корупційних ризиків. Позитивний імідж КП МТК «Калинівський ринок».</w:t>
            </w:r>
            <w:r w:rsidRPr="00D265CF">
              <w:rPr>
                <w:lang w:val="uk-UA"/>
              </w:rPr>
              <w:t xml:space="preserve">   </w:t>
            </w:r>
            <w:r w:rsidRPr="00D265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Максимізація отриманого доходу (80% сплаченої переможцем електронних торгів (аукціонів) ціни лоту перераховується на рахунок цільового фонду соціально-економічного розвитку міста). Очікувані надходження до бюджету – </w:t>
            </w:r>
            <w:r w:rsidR="00D265CF" w:rsidRPr="00D265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943</w:t>
            </w:r>
            <w:r w:rsidRPr="00D265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тис. грн.</w:t>
            </w:r>
          </w:p>
          <w:p w:rsidR="00CC2BBF" w:rsidRPr="00D265CF" w:rsidRDefault="00CC2BBF" w:rsidP="00E02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65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Збільшення надходжень до цільового фонду соціально-економічного розвитку міста за рахунок значного розширення кола учасників електронних торгів і максимізації суми доходу, отриманого в результаті їх проведення. Очікувані надходження до бюджету – </w:t>
            </w:r>
            <w:r w:rsidR="00D265CF" w:rsidRPr="00D265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понад 943</w:t>
            </w:r>
            <w:r w:rsidRPr="00D265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тис. грн., що надасть змогу вчасно виплачувати соціальні та економічні зобов’язання бюджету.</w:t>
            </w:r>
          </w:p>
          <w:p w:rsidR="00CC2BBF" w:rsidRPr="00D265CF" w:rsidRDefault="00CC2BBF" w:rsidP="00E023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65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Доступність до інформації про проведення торгів (аукціонів), надання онлайн доступу для потенційних учасників, створення для них рівних конкурентних умов.</w:t>
            </w:r>
          </w:p>
        </w:tc>
        <w:tc>
          <w:tcPr>
            <w:tcW w:w="2614" w:type="dxa"/>
            <w:vAlign w:val="center"/>
          </w:tcPr>
          <w:p w:rsidR="00CC2BBF" w:rsidRPr="00B32EC4" w:rsidRDefault="00CC2BBF" w:rsidP="00CC2BBF">
            <w:pPr>
              <w:pStyle w:val="a3"/>
              <w:jc w:val="center"/>
              <w:rPr>
                <w:lang w:val="uk-UA"/>
              </w:rPr>
            </w:pPr>
            <w:r w:rsidRPr="00B32EC4">
              <w:rPr>
                <w:lang w:val="uk-UA"/>
              </w:rPr>
              <w:t>Незначні</w:t>
            </w:r>
            <w:r w:rsidR="00B32EC4">
              <w:rPr>
                <w:lang w:val="uk-UA"/>
              </w:rPr>
              <w:t xml:space="preserve"> витрати</w:t>
            </w:r>
            <w:r w:rsidRPr="00B32EC4">
              <w:rPr>
                <w:lang w:val="uk-UA"/>
              </w:rPr>
              <w:t>, пов'язані зі сплатою суб'єкт</w:t>
            </w:r>
            <w:r w:rsidR="00C04ABD" w:rsidRPr="00B32EC4">
              <w:rPr>
                <w:lang w:val="uk-UA"/>
              </w:rPr>
              <w:t>ами</w:t>
            </w:r>
            <w:r w:rsidRPr="00B32EC4">
              <w:rPr>
                <w:lang w:val="uk-UA"/>
              </w:rPr>
              <w:t xml:space="preserve"> господарювання обов'язкових внесків за реєстрацію в системі </w:t>
            </w:r>
            <w:r w:rsidRPr="00B32EC4">
              <w:t>ProZorro</w:t>
            </w:r>
            <w:r w:rsidRPr="00B32EC4">
              <w:rPr>
                <w:lang w:val="uk-UA"/>
              </w:rPr>
              <w:t>.Продажі. Часові витрати на ознайомлення</w:t>
            </w:r>
            <w:r w:rsidR="00C04ABD" w:rsidRPr="00B32EC4">
              <w:rPr>
                <w:lang w:val="uk-UA"/>
              </w:rPr>
              <w:t>,</w:t>
            </w:r>
            <w:r w:rsidRPr="00B32EC4">
              <w:rPr>
                <w:lang w:val="uk-UA"/>
              </w:rPr>
              <w:t xml:space="preserve"> участь у електронному аукціоні</w:t>
            </w:r>
            <w:r w:rsidR="00C04ABD" w:rsidRPr="00B32EC4">
              <w:rPr>
                <w:lang w:val="uk-UA"/>
              </w:rPr>
              <w:t>, виплату винагороди оператору майданчика в разі перемоги</w:t>
            </w:r>
            <w:r w:rsidR="00611F12" w:rsidRPr="00B32EC4">
              <w:rPr>
                <w:lang w:val="uk-UA"/>
              </w:rPr>
              <w:t>.</w:t>
            </w:r>
          </w:p>
          <w:p w:rsidR="00C04ABD" w:rsidRPr="00B32EC4" w:rsidRDefault="00C04ABD" w:rsidP="00C04ABD">
            <w:pPr>
              <w:pStyle w:val="a3"/>
              <w:jc w:val="center"/>
              <w:rPr>
                <w:lang w:val="uk-UA"/>
              </w:rPr>
            </w:pPr>
            <w:r w:rsidRPr="00B32EC4">
              <w:rPr>
                <w:lang w:val="uk-UA"/>
              </w:rPr>
              <w:t xml:space="preserve">76872,9 грн. </w:t>
            </w:r>
          </w:p>
          <w:p w:rsidR="00CC2BBF" w:rsidRPr="00D265CF" w:rsidRDefault="00CC2BBF" w:rsidP="00CC2BBF">
            <w:pPr>
              <w:pStyle w:val="a3"/>
              <w:jc w:val="center"/>
              <w:rPr>
                <w:color w:val="C00000"/>
                <w:lang w:val="uk-UA"/>
              </w:rPr>
            </w:pPr>
          </w:p>
        </w:tc>
        <w:tc>
          <w:tcPr>
            <w:tcW w:w="2170" w:type="dxa"/>
          </w:tcPr>
          <w:p w:rsidR="00732A5C" w:rsidRPr="00D35F98" w:rsidRDefault="00732A5C" w:rsidP="005A3756">
            <w:pPr>
              <w:pStyle w:val="a3"/>
              <w:jc w:val="center"/>
              <w:rPr>
                <w:lang w:val="uk-UA"/>
              </w:rPr>
            </w:pPr>
            <w:r w:rsidRPr="00D265CF">
              <w:rPr>
                <w:lang w:val="uk-UA"/>
              </w:rPr>
              <w:t>Альтернатива  сприяє досягненню основних цілей регуляторного акта</w:t>
            </w:r>
          </w:p>
        </w:tc>
      </w:tr>
    </w:tbl>
    <w:p w:rsidR="00AE3AC9" w:rsidRPr="00AA78E0" w:rsidRDefault="00AE3AC9" w:rsidP="00821720">
      <w:pPr>
        <w:pStyle w:val="a3"/>
        <w:spacing w:before="0" w:beforeAutospacing="0" w:after="0" w:afterAutospacing="0"/>
        <w:jc w:val="both"/>
        <w:rPr>
          <w:color w:val="FF0000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4215"/>
        <w:gridCol w:w="3517"/>
      </w:tblGrid>
      <w:tr w:rsidR="00027D9C" w:rsidRPr="00AA78E0" w:rsidTr="00821720">
        <w:trPr>
          <w:trHeight w:val="1198"/>
        </w:trPr>
        <w:tc>
          <w:tcPr>
            <w:tcW w:w="2122" w:type="dxa"/>
            <w:vAlign w:val="center"/>
          </w:tcPr>
          <w:p w:rsidR="00AE3AC9" w:rsidRPr="005A3756" w:rsidRDefault="00027D9C" w:rsidP="00A116B2">
            <w:pPr>
              <w:pStyle w:val="a3"/>
              <w:jc w:val="center"/>
              <w:rPr>
                <w:lang w:val="uk-UA"/>
              </w:rPr>
            </w:pPr>
            <w:r w:rsidRPr="005A3756">
              <w:rPr>
                <w:lang w:val="uk-UA"/>
              </w:rPr>
              <w:t>Рейтинг</w:t>
            </w:r>
          </w:p>
        </w:tc>
        <w:tc>
          <w:tcPr>
            <w:tcW w:w="4215" w:type="dxa"/>
            <w:vAlign w:val="center"/>
          </w:tcPr>
          <w:p w:rsidR="00AE3AC9" w:rsidRPr="005A3756" w:rsidRDefault="00027D9C" w:rsidP="00A116B2">
            <w:pPr>
              <w:pStyle w:val="a3"/>
              <w:jc w:val="center"/>
              <w:rPr>
                <w:lang w:val="uk-UA"/>
              </w:rPr>
            </w:pPr>
            <w:r w:rsidRPr="005A3756">
              <w:rPr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3517" w:type="dxa"/>
            <w:vAlign w:val="center"/>
          </w:tcPr>
          <w:p w:rsidR="00AE3AC9" w:rsidRPr="005A3756" w:rsidRDefault="00027D9C" w:rsidP="00A116B2">
            <w:pPr>
              <w:pStyle w:val="a3"/>
              <w:jc w:val="center"/>
              <w:rPr>
                <w:lang w:val="uk-UA"/>
              </w:rPr>
            </w:pPr>
            <w:r w:rsidRPr="005A3756">
              <w:rPr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A3756" w:rsidRPr="005A3756" w:rsidTr="005A3756">
        <w:trPr>
          <w:trHeight w:val="886"/>
        </w:trPr>
        <w:tc>
          <w:tcPr>
            <w:tcW w:w="2122" w:type="dxa"/>
            <w:vAlign w:val="center"/>
          </w:tcPr>
          <w:p w:rsidR="005A3756" w:rsidRPr="005A3756" w:rsidRDefault="005A3756" w:rsidP="005A3756">
            <w:pPr>
              <w:pStyle w:val="a3"/>
              <w:jc w:val="center"/>
              <w:rPr>
                <w:lang w:val="uk-UA"/>
              </w:rPr>
            </w:pPr>
            <w:r w:rsidRPr="005A3756">
              <w:rPr>
                <w:lang w:val="uk-UA"/>
              </w:rPr>
              <w:lastRenderedPageBreak/>
              <w:t>Альтернатива 1</w:t>
            </w:r>
          </w:p>
        </w:tc>
        <w:tc>
          <w:tcPr>
            <w:tcW w:w="4215" w:type="dxa"/>
          </w:tcPr>
          <w:p w:rsidR="005A3756" w:rsidRPr="005A3756" w:rsidRDefault="005A3756" w:rsidP="005A3756">
            <w:pPr>
              <w:pStyle w:val="a3"/>
              <w:jc w:val="center"/>
              <w:rPr>
                <w:lang w:val="uk-UA"/>
              </w:rPr>
            </w:pPr>
            <w:r w:rsidRPr="005A3756">
              <w:rPr>
                <w:lang w:val="uk-UA"/>
              </w:rPr>
              <w:t>Не вирішує визначених проблем та не сприяє досягненню основних цілей регуляторного акта</w:t>
            </w:r>
          </w:p>
        </w:tc>
        <w:tc>
          <w:tcPr>
            <w:tcW w:w="3517" w:type="dxa"/>
            <w:vAlign w:val="center"/>
          </w:tcPr>
          <w:p w:rsidR="005A3756" w:rsidRPr="005A3756" w:rsidRDefault="005A3756" w:rsidP="005A3756">
            <w:pPr>
              <w:pStyle w:val="a3"/>
              <w:jc w:val="center"/>
              <w:rPr>
                <w:lang w:val="uk-UA"/>
              </w:rPr>
            </w:pPr>
            <w:r w:rsidRPr="005A3756">
              <w:rPr>
                <w:lang w:val="uk-UA"/>
              </w:rPr>
              <w:t>Х</w:t>
            </w:r>
          </w:p>
        </w:tc>
      </w:tr>
      <w:tr w:rsidR="005A3756" w:rsidRPr="00AA78E0" w:rsidTr="00821720">
        <w:trPr>
          <w:trHeight w:val="976"/>
        </w:trPr>
        <w:tc>
          <w:tcPr>
            <w:tcW w:w="2122" w:type="dxa"/>
            <w:vAlign w:val="center"/>
          </w:tcPr>
          <w:p w:rsidR="005A3756" w:rsidRPr="005A3756" w:rsidRDefault="005A3756" w:rsidP="00A116B2">
            <w:pPr>
              <w:pStyle w:val="a3"/>
              <w:jc w:val="center"/>
              <w:rPr>
                <w:lang w:val="uk-UA"/>
              </w:rPr>
            </w:pPr>
            <w:r w:rsidRPr="005A3756">
              <w:rPr>
                <w:lang w:val="uk-UA"/>
              </w:rPr>
              <w:t>Альтернатива 2</w:t>
            </w:r>
          </w:p>
        </w:tc>
        <w:tc>
          <w:tcPr>
            <w:tcW w:w="4215" w:type="dxa"/>
          </w:tcPr>
          <w:p w:rsidR="005A3756" w:rsidRPr="005A3756" w:rsidRDefault="00C120F7" w:rsidP="005A3756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="005A3756" w:rsidRPr="005A3756">
              <w:rPr>
                <w:lang w:val="uk-UA"/>
              </w:rPr>
              <w:t>аксимально сприятиме досягненню основних цілей регуляторного акта</w:t>
            </w:r>
          </w:p>
        </w:tc>
        <w:tc>
          <w:tcPr>
            <w:tcW w:w="3517" w:type="dxa"/>
            <w:vAlign w:val="center"/>
          </w:tcPr>
          <w:p w:rsidR="005A3756" w:rsidRPr="005A3756" w:rsidRDefault="005A3756" w:rsidP="00A116B2">
            <w:pPr>
              <w:pStyle w:val="a3"/>
              <w:jc w:val="center"/>
              <w:rPr>
                <w:lang w:val="uk-UA"/>
              </w:rPr>
            </w:pPr>
            <w:r w:rsidRPr="005A3756">
              <w:rPr>
                <w:lang w:val="uk-UA"/>
              </w:rPr>
              <w:t>Відсутній ризик зовнішніх чинників на дію запропонованого регуляторного акта</w:t>
            </w:r>
          </w:p>
        </w:tc>
      </w:tr>
    </w:tbl>
    <w:p w:rsidR="008C446C" w:rsidRPr="00AA78E0" w:rsidRDefault="008C446C" w:rsidP="0024047A">
      <w:pPr>
        <w:pStyle w:val="3"/>
        <w:spacing w:before="0" w:beforeAutospacing="0" w:after="0" w:afterAutospacing="0"/>
        <w:jc w:val="center"/>
        <w:rPr>
          <w:rFonts w:eastAsia="Times New Roman"/>
          <w:b w:val="0"/>
          <w:color w:val="FF0000"/>
          <w:sz w:val="24"/>
          <w:szCs w:val="24"/>
          <w:lang w:val="uk-UA"/>
        </w:rPr>
      </w:pPr>
    </w:p>
    <w:p w:rsidR="00737CBE" w:rsidRPr="00941BDA" w:rsidRDefault="00737CBE" w:rsidP="00941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41B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Обраний спосіб відповідає вимогам діючого законодавства та </w:t>
      </w:r>
      <w:r w:rsidR="00941BDA" w:rsidRPr="00941B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дозволить </w:t>
      </w:r>
      <w:r w:rsidR="00941BDA" w:rsidRPr="00941BDA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941BDA"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="00941BDA" w:rsidRPr="00941BDA">
        <w:rPr>
          <w:rFonts w:ascii="Times New Roman" w:hAnsi="Times New Roman" w:cs="Times New Roman"/>
          <w:sz w:val="28"/>
          <w:szCs w:val="28"/>
          <w:lang w:val="uk-UA"/>
        </w:rPr>
        <w:t xml:space="preserve"> інтерес</w:t>
      </w:r>
      <w:r w:rsidR="00941BD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41BDA" w:rsidRPr="00941BDA">
        <w:rPr>
          <w:rFonts w:ascii="Times New Roman" w:hAnsi="Times New Roman" w:cs="Times New Roman"/>
          <w:sz w:val="28"/>
          <w:szCs w:val="28"/>
          <w:lang w:val="uk-UA"/>
        </w:rPr>
        <w:t xml:space="preserve"> КП МТК «Калинівський ринок» </w:t>
      </w:r>
      <w:r w:rsidR="00941BD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41BDA" w:rsidRPr="00941BDA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Чернівецької міської ради щодо максимізації доходу, отриманого від проведення торгів (аукціону)</w:t>
      </w:r>
      <w:r w:rsidR="00941BDA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добросовісної </w:t>
      </w:r>
      <w:r w:rsidR="00941BDA">
        <w:rPr>
          <w:rFonts w:ascii="Times New Roman" w:eastAsia="Times New Roman" w:hAnsi="Times New Roman" w:cs="Times New Roman"/>
          <w:sz w:val="28"/>
          <w:szCs w:val="28"/>
          <w:lang w:val="uk-UA"/>
        </w:rPr>
        <w:t>економічної конкуренції, що, в свою чергу, позитивно вплине на імідж підприємства</w:t>
      </w:r>
      <w:r w:rsidR="00941BDA" w:rsidRPr="00941B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941BDA">
        <w:rPr>
          <w:rFonts w:ascii="Times New Roman" w:eastAsia="Times New Roman" w:hAnsi="Times New Roman" w:cs="Times New Roman"/>
          <w:sz w:val="28"/>
          <w:szCs w:val="28"/>
          <w:lang w:val="uk-UA"/>
        </w:rPr>
        <w:t>Видання запропонованого регуляторного акта забезпечить досягнення встановлених цілей, починаючи з дня набрання ним чинності.</w:t>
      </w:r>
    </w:p>
    <w:p w:rsidR="00737CBE" w:rsidRPr="00AA78E0" w:rsidRDefault="00737CBE" w:rsidP="0024047A">
      <w:pPr>
        <w:pStyle w:val="3"/>
        <w:spacing w:before="0" w:beforeAutospacing="0" w:after="0" w:afterAutospacing="0"/>
        <w:jc w:val="center"/>
        <w:rPr>
          <w:rFonts w:eastAsia="Times New Roman"/>
          <w:b w:val="0"/>
          <w:color w:val="FF0000"/>
          <w:sz w:val="24"/>
          <w:szCs w:val="24"/>
          <w:lang w:val="uk-UA"/>
        </w:rPr>
      </w:pPr>
    </w:p>
    <w:p w:rsidR="006124E3" w:rsidRPr="007144FB" w:rsidRDefault="006124E3" w:rsidP="008A3B77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i/>
          <w:sz w:val="28"/>
          <w:szCs w:val="28"/>
          <w:lang w:val="uk-UA"/>
        </w:rPr>
      </w:pPr>
      <w:r w:rsidRPr="007144FB">
        <w:rPr>
          <w:rFonts w:eastAsia="Times New Roman"/>
          <w:i/>
          <w:sz w:val="28"/>
          <w:szCs w:val="28"/>
          <w:lang w:val="uk-UA"/>
        </w:rPr>
        <w:t>V. Механізми та заходи, які забезпечать розв</w:t>
      </w:r>
      <w:r w:rsidR="00EE7F98" w:rsidRPr="007144FB">
        <w:rPr>
          <w:i/>
          <w:sz w:val="28"/>
          <w:szCs w:val="28"/>
          <w:lang w:val="uk-UA"/>
        </w:rPr>
        <w:t>’</w:t>
      </w:r>
      <w:r w:rsidRPr="007144FB">
        <w:rPr>
          <w:rFonts w:eastAsia="Times New Roman"/>
          <w:i/>
          <w:sz w:val="28"/>
          <w:szCs w:val="28"/>
          <w:lang w:val="uk-UA"/>
        </w:rPr>
        <w:t>язання визначеної проблеми</w:t>
      </w:r>
    </w:p>
    <w:p w:rsidR="0024047A" w:rsidRPr="007144FB" w:rsidRDefault="0024047A" w:rsidP="008A3B77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b w:val="0"/>
          <w:color w:val="FF0000"/>
          <w:sz w:val="16"/>
          <w:szCs w:val="16"/>
          <w:lang w:val="uk-UA"/>
        </w:rPr>
      </w:pPr>
    </w:p>
    <w:p w:rsidR="00123424" w:rsidRPr="007144FB" w:rsidRDefault="00D910AF" w:rsidP="005F0ECB">
      <w:pPr>
        <w:pStyle w:val="a7"/>
        <w:suppressAutoHyphens/>
        <w:ind w:firstLine="709"/>
        <w:jc w:val="both"/>
        <w:rPr>
          <w:sz w:val="28"/>
          <w:szCs w:val="28"/>
          <w:lang w:val="uk-UA"/>
        </w:rPr>
      </w:pPr>
      <w:r w:rsidRPr="007144FB">
        <w:rPr>
          <w:sz w:val="28"/>
          <w:szCs w:val="28"/>
          <w:lang w:val="uk-UA"/>
        </w:rPr>
        <w:t>Для вирішення визначених у цьому аналізі проблем пропонується застосувати такий механізм, як</w:t>
      </w:r>
      <w:r w:rsidRPr="007144FB">
        <w:rPr>
          <w:color w:val="FF0000"/>
          <w:sz w:val="28"/>
          <w:szCs w:val="28"/>
          <w:lang w:val="uk-UA"/>
        </w:rPr>
        <w:t xml:space="preserve"> </w:t>
      </w:r>
      <w:r w:rsidR="005F0ECB" w:rsidRPr="007144FB">
        <w:rPr>
          <w:sz w:val="28"/>
          <w:szCs w:val="28"/>
          <w:lang w:val="uk-UA"/>
        </w:rPr>
        <w:t xml:space="preserve">організація КП МТК "Калинівський ринок" електронних торгів (аукціонів) на право користування торговельними місцями для встановлення пунктів продажу на території підприємства з використанням електронної торгової системи </w:t>
      </w:r>
      <w:r w:rsidR="005F0ECB" w:rsidRPr="007144FB">
        <w:rPr>
          <w:sz w:val="28"/>
          <w:szCs w:val="28"/>
        </w:rPr>
        <w:t>ProZorro</w:t>
      </w:r>
      <w:r w:rsidR="005F0ECB" w:rsidRPr="007144FB">
        <w:rPr>
          <w:sz w:val="28"/>
          <w:szCs w:val="28"/>
          <w:lang w:val="uk-UA"/>
        </w:rPr>
        <w:t>.Продажі.</w:t>
      </w:r>
    </w:p>
    <w:p w:rsidR="005F0ECB" w:rsidRPr="00AA78E0" w:rsidRDefault="005F0ECB" w:rsidP="008B5CA0">
      <w:pPr>
        <w:pStyle w:val="a7"/>
        <w:suppressAutoHyphens/>
        <w:ind w:firstLine="709"/>
        <w:jc w:val="both"/>
        <w:rPr>
          <w:color w:val="FF0000"/>
          <w:sz w:val="28"/>
          <w:szCs w:val="28"/>
          <w:lang w:val="uk-UA"/>
        </w:rPr>
      </w:pPr>
      <w:r w:rsidRPr="007144FB">
        <w:rPr>
          <w:sz w:val="28"/>
          <w:szCs w:val="28"/>
          <w:lang w:val="uk-UA"/>
        </w:rPr>
        <w:t xml:space="preserve">Для реалізації запропонованого механізму КП МТК "Калинівський ринок" необхідно буде укласти договір з електронною торговою системою </w:t>
      </w:r>
      <w:r w:rsidRPr="007144FB">
        <w:rPr>
          <w:sz w:val="28"/>
          <w:szCs w:val="28"/>
        </w:rPr>
        <w:t>ProZorro</w:t>
      </w:r>
      <w:r w:rsidRPr="007144FB">
        <w:rPr>
          <w:sz w:val="28"/>
          <w:szCs w:val="28"/>
          <w:lang w:val="uk-UA"/>
        </w:rPr>
        <w:t>.Продажі та проводити</w:t>
      </w:r>
      <w:r w:rsidR="00082344" w:rsidRPr="007144FB">
        <w:rPr>
          <w:sz w:val="28"/>
          <w:szCs w:val="28"/>
          <w:lang w:val="uk-UA"/>
        </w:rPr>
        <w:t xml:space="preserve"> активне</w:t>
      </w:r>
      <w:r w:rsidRPr="007144FB">
        <w:rPr>
          <w:sz w:val="28"/>
          <w:szCs w:val="28"/>
          <w:lang w:val="uk-UA"/>
        </w:rPr>
        <w:t xml:space="preserve"> </w:t>
      </w:r>
      <w:r w:rsidR="00082344" w:rsidRPr="007144FB">
        <w:rPr>
          <w:sz w:val="28"/>
          <w:szCs w:val="28"/>
          <w:lang w:val="uk-UA"/>
        </w:rPr>
        <w:t>інформування громадськості про заплановані електронні торги (аукціони).</w:t>
      </w:r>
    </w:p>
    <w:p w:rsidR="00C120F7" w:rsidRPr="005D423F" w:rsidRDefault="00C120F7" w:rsidP="008B5CA0">
      <w:pPr>
        <w:pStyle w:val="a7"/>
        <w:suppressAutoHyphens/>
        <w:ind w:firstLine="709"/>
        <w:jc w:val="both"/>
        <w:rPr>
          <w:sz w:val="28"/>
          <w:szCs w:val="28"/>
          <w:lang w:val="uk-UA"/>
        </w:rPr>
      </w:pPr>
      <w:r w:rsidRPr="005D423F">
        <w:rPr>
          <w:sz w:val="28"/>
          <w:szCs w:val="28"/>
          <w:lang w:val="uk-UA"/>
        </w:rPr>
        <w:t>Механіз</w:t>
      </w:r>
      <w:r w:rsidR="00D0428B" w:rsidRPr="005D423F">
        <w:rPr>
          <w:sz w:val="28"/>
          <w:szCs w:val="28"/>
          <w:lang w:val="uk-UA"/>
        </w:rPr>
        <w:t>м</w:t>
      </w:r>
      <w:r w:rsidRPr="005D423F">
        <w:rPr>
          <w:sz w:val="28"/>
          <w:szCs w:val="28"/>
          <w:lang w:val="uk-UA"/>
        </w:rPr>
        <w:t>, що забезпечить вирішення проблеми:</w:t>
      </w:r>
    </w:p>
    <w:p w:rsidR="00821720" w:rsidRPr="005D423F" w:rsidRDefault="00C120F7" w:rsidP="008B5CA0">
      <w:pPr>
        <w:pStyle w:val="a7"/>
        <w:numPr>
          <w:ilvl w:val="0"/>
          <w:numId w:val="8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r w:rsidRPr="005D423F">
        <w:rPr>
          <w:sz w:val="28"/>
          <w:szCs w:val="28"/>
          <w:lang w:val="uk-UA"/>
        </w:rPr>
        <w:t>обговорення з підприємницькою спільнотою;</w:t>
      </w:r>
    </w:p>
    <w:p w:rsidR="00C120F7" w:rsidRPr="005D423F" w:rsidRDefault="00C120F7" w:rsidP="008B5CA0">
      <w:pPr>
        <w:pStyle w:val="a7"/>
        <w:numPr>
          <w:ilvl w:val="0"/>
          <w:numId w:val="8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r w:rsidRPr="005D423F">
        <w:rPr>
          <w:sz w:val="28"/>
          <w:szCs w:val="28"/>
          <w:lang w:val="uk-UA"/>
        </w:rPr>
        <w:t>розміщення на офіційному веб-порталі міської ради проекту рішення;</w:t>
      </w:r>
    </w:p>
    <w:p w:rsidR="00C120F7" w:rsidRPr="005D423F" w:rsidRDefault="00C120F7" w:rsidP="008B5CA0">
      <w:pPr>
        <w:pStyle w:val="a7"/>
        <w:numPr>
          <w:ilvl w:val="0"/>
          <w:numId w:val="8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r w:rsidRPr="005D423F">
        <w:rPr>
          <w:sz w:val="28"/>
          <w:szCs w:val="28"/>
          <w:lang w:val="uk-UA"/>
        </w:rPr>
        <w:t>отримання пропозицій і зауважень від суб</w:t>
      </w:r>
      <w:r w:rsidRPr="005D423F">
        <w:rPr>
          <w:sz w:val="28"/>
          <w:szCs w:val="28"/>
        </w:rPr>
        <w:t>’</w:t>
      </w:r>
      <w:r w:rsidRPr="005D423F">
        <w:rPr>
          <w:sz w:val="28"/>
          <w:szCs w:val="28"/>
          <w:lang w:val="uk-UA"/>
        </w:rPr>
        <w:t>єктів господарювання, комунального підприємства, його спостережної ради, уповноваженого органу;</w:t>
      </w:r>
    </w:p>
    <w:p w:rsidR="00C120F7" w:rsidRPr="005D423F" w:rsidRDefault="00C120F7" w:rsidP="008B5CA0">
      <w:pPr>
        <w:pStyle w:val="a7"/>
        <w:numPr>
          <w:ilvl w:val="0"/>
          <w:numId w:val="8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r w:rsidRPr="005D423F">
        <w:rPr>
          <w:sz w:val="28"/>
          <w:szCs w:val="28"/>
          <w:lang w:val="uk-UA"/>
        </w:rPr>
        <w:t>розрахунок витрат суб</w:t>
      </w:r>
      <w:r w:rsidRPr="005D423F">
        <w:rPr>
          <w:sz w:val="28"/>
          <w:szCs w:val="28"/>
        </w:rPr>
        <w:t>’</w:t>
      </w:r>
      <w:r w:rsidRPr="005D423F">
        <w:rPr>
          <w:sz w:val="28"/>
          <w:szCs w:val="28"/>
          <w:lang w:val="uk-UA"/>
        </w:rPr>
        <w:t>єктів господарювання, громадян, держави;</w:t>
      </w:r>
    </w:p>
    <w:p w:rsidR="00C120F7" w:rsidRPr="005D423F" w:rsidRDefault="008B5CA0" w:rsidP="008B5CA0">
      <w:pPr>
        <w:pStyle w:val="a7"/>
        <w:numPr>
          <w:ilvl w:val="0"/>
          <w:numId w:val="8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r w:rsidRPr="005D423F">
        <w:rPr>
          <w:sz w:val="28"/>
          <w:szCs w:val="28"/>
          <w:lang w:val="uk-UA"/>
        </w:rPr>
        <w:t>винесення на розгляд постійних комісій міської ради і отримання від них відповідних порпозицій;</w:t>
      </w:r>
    </w:p>
    <w:p w:rsidR="00436BDD" w:rsidRPr="005D423F" w:rsidRDefault="00436BDD" w:rsidP="008B5CA0">
      <w:pPr>
        <w:pStyle w:val="a7"/>
        <w:numPr>
          <w:ilvl w:val="0"/>
          <w:numId w:val="8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r w:rsidRPr="005D423F">
        <w:rPr>
          <w:sz w:val="28"/>
          <w:szCs w:val="28"/>
          <w:lang w:val="uk-UA"/>
        </w:rPr>
        <w:t>розгляд на сесії</w:t>
      </w:r>
      <w:r w:rsidR="008B5CA0" w:rsidRPr="005D423F">
        <w:rPr>
          <w:sz w:val="28"/>
          <w:szCs w:val="28"/>
          <w:lang w:val="uk-UA"/>
        </w:rPr>
        <w:t xml:space="preserve"> під час прийняття міською радою відповідного рішення;</w:t>
      </w:r>
    </w:p>
    <w:p w:rsidR="00436BDD" w:rsidRPr="005D423F" w:rsidRDefault="00436BDD" w:rsidP="008B5CA0">
      <w:pPr>
        <w:pStyle w:val="a7"/>
        <w:numPr>
          <w:ilvl w:val="0"/>
          <w:numId w:val="8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r w:rsidRPr="005D423F">
        <w:rPr>
          <w:sz w:val="28"/>
          <w:szCs w:val="28"/>
          <w:lang w:val="uk-UA"/>
        </w:rPr>
        <w:t>оприлюднення в мережі</w:t>
      </w:r>
      <w:r w:rsidR="008B5CA0" w:rsidRPr="005D423F">
        <w:rPr>
          <w:sz w:val="28"/>
          <w:szCs w:val="28"/>
          <w:lang w:val="uk-UA"/>
        </w:rPr>
        <w:t>;</w:t>
      </w:r>
    </w:p>
    <w:p w:rsidR="00436BDD" w:rsidRPr="005D423F" w:rsidRDefault="008B5CA0" w:rsidP="008B5CA0">
      <w:pPr>
        <w:pStyle w:val="a7"/>
        <w:numPr>
          <w:ilvl w:val="0"/>
          <w:numId w:val="8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r w:rsidRPr="005D423F">
        <w:rPr>
          <w:sz w:val="28"/>
          <w:szCs w:val="28"/>
          <w:lang w:val="uk-UA"/>
        </w:rPr>
        <w:t>п</w:t>
      </w:r>
      <w:r w:rsidR="00436BDD" w:rsidRPr="005D423F">
        <w:rPr>
          <w:sz w:val="28"/>
          <w:szCs w:val="28"/>
          <w:lang w:val="uk-UA"/>
        </w:rPr>
        <w:t>роведення відстежень результативності</w:t>
      </w:r>
      <w:r w:rsidR="007A60EF" w:rsidRPr="005D423F">
        <w:rPr>
          <w:sz w:val="28"/>
          <w:szCs w:val="28"/>
          <w:lang w:val="uk-UA"/>
        </w:rPr>
        <w:t>.</w:t>
      </w:r>
    </w:p>
    <w:p w:rsidR="006124E3" w:rsidRPr="00082344" w:rsidRDefault="006124E3" w:rsidP="0024047A">
      <w:pPr>
        <w:pStyle w:val="3"/>
        <w:spacing w:before="0" w:beforeAutospacing="0" w:after="0" w:afterAutospacing="0"/>
        <w:jc w:val="center"/>
        <w:rPr>
          <w:rFonts w:eastAsia="Times New Roman"/>
          <w:i/>
          <w:sz w:val="28"/>
          <w:szCs w:val="28"/>
          <w:lang w:val="uk-UA"/>
        </w:rPr>
      </w:pPr>
      <w:r w:rsidRPr="00082344">
        <w:rPr>
          <w:rFonts w:eastAsia="Times New Roman"/>
          <w:i/>
          <w:sz w:val="28"/>
          <w:szCs w:val="28"/>
          <w:lang w:val="uk-UA"/>
        </w:rPr>
        <w:t>VI. 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24047A" w:rsidRPr="00AA78E0" w:rsidRDefault="0024047A" w:rsidP="0024047A">
      <w:pPr>
        <w:pStyle w:val="3"/>
        <w:spacing w:before="0" w:beforeAutospacing="0" w:after="0" w:afterAutospacing="0"/>
        <w:jc w:val="center"/>
        <w:rPr>
          <w:rFonts w:eastAsia="Times New Roman"/>
          <w:b w:val="0"/>
          <w:color w:val="FF0000"/>
          <w:sz w:val="16"/>
          <w:szCs w:val="16"/>
          <w:lang w:val="uk-UA"/>
        </w:rPr>
      </w:pPr>
    </w:p>
    <w:p w:rsidR="001E5965" w:rsidRPr="00082344" w:rsidRDefault="001E5965" w:rsidP="001E596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82344">
        <w:rPr>
          <w:sz w:val="28"/>
          <w:szCs w:val="28"/>
          <w:lang w:val="uk-UA"/>
        </w:rPr>
        <w:lastRenderedPageBreak/>
        <w:t>Виконання вимог запропонованого проекту регуляторного акта не потребує додаткових витрат з бюджету міста Чернівців.</w:t>
      </w:r>
    </w:p>
    <w:p w:rsidR="006471B6" w:rsidRPr="000E574A" w:rsidRDefault="001E5965" w:rsidP="006471B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E574A">
        <w:rPr>
          <w:sz w:val="28"/>
          <w:szCs w:val="28"/>
          <w:lang w:val="uk-UA"/>
        </w:rPr>
        <w:t>Враховуючи те, що питома вага суб’єктів малого підприємництва (малих та мікропідприємств разом) у загальній кількості суб’єктів господарювання, на яких поширюється регулювання, перевищує 10%</w:t>
      </w:r>
      <w:r w:rsidR="006471B6" w:rsidRPr="000E574A">
        <w:rPr>
          <w:sz w:val="28"/>
          <w:szCs w:val="28"/>
          <w:lang w:val="uk-UA"/>
        </w:rPr>
        <w:t xml:space="preserve">, необхідно здійснити розрахунок витрат на запровадження державного регулювання для суб’єктів малого підприємництва згідно з додатком 4 до Методики проведення аналізу впливу регуляторного акта (Тест малого підприємництва </w:t>
      </w:r>
      <w:r w:rsidR="006471B6" w:rsidRPr="000E574A">
        <w:rPr>
          <w:rStyle w:val="rvts15"/>
          <w:sz w:val="28"/>
          <w:szCs w:val="28"/>
          <w:lang w:val="uk-UA"/>
        </w:rPr>
        <w:t>(М-Тест</w:t>
      </w:r>
      <w:r w:rsidR="006471B6" w:rsidRPr="000E574A">
        <w:rPr>
          <w:sz w:val="28"/>
          <w:szCs w:val="28"/>
          <w:lang w:val="uk-UA"/>
        </w:rPr>
        <w:t>), затвердженої постановою Кабінету Міністрів України від 11.03.2004 р. №308 «Про затвердження методик проведення аналізу впливу та відстеження результативності регуляторного акта».</w:t>
      </w:r>
    </w:p>
    <w:p w:rsidR="00C84D7E" w:rsidRPr="00AA78E0" w:rsidRDefault="00C84D7E" w:rsidP="001E5965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  <w:lang w:val="uk-UA"/>
        </w:rPr>
      </w:pPr>
    </w:p>
    <w:p w:rsidR="007A60EF" w:rsidRPr="00AA78E0" w:rsidRDefault="007A60EF" w:rsidP="001E5965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  <w:lang w:val="uk-UA"/>
        </w:rPr>
      </w:pPr>
    </w:p>
    <w:p w:rsidR="006471B6" w:rsidRPr="00CF2673" w:rsidRDefault="006471B6" w:rsidP="006471B6">
      <w:pPr>
        <w:pStyle w:val="rvps7"/>
        <w:spacing w:before="0" w:beforeAutospacing="0" w:after="0" w:afterAutospacing="0"/>
        <w:ind w:firstLine="709"/>
        <w:jc w:val="center"/>
        <w:rPr>
          <w:rStyle w:val="rvts15"/>
          <w:b/>
          <w:sz w:val="28"/>
          <w:szCs w:val="28"/>
          <w:lang w:val="uk-UA"/>
        </w:rPr>
      </w:pPr>
      <w:r w:rsidRPr="00CF2673">
        <w:rPr>
          <w:rStyle w:val="rvts15"/>
          <w:b/>
          <w:sz w:val="28"/>
          <w:szCs w:val="28"/>
        </w:rPr>
        <w:t xml:space="preserve">ТЕСТ </w:t>
      </w:r>
      <w:r w:rsidRPr="00CF2673">
        <w:rPr>
          <w:b/>
          <w:sz w:val="28"/>
          <w:szCs w:val="28"/>
        </w:rPr>
        <w:br/>
      </w:r>
      <w:r w:rsidRPr="00CF2673">
        <w:rPr>
          <w:rStyle w:val="rvts15"/>
          <w:b/>
          <w:sz w:val="28"/>
          <w:szCs w:val="28"/>
        </w:rPr>
        <w:t xml:space="preserve">малого </w:t>
      </w:r>
      <w:r w:rsidRPr="00CF2673">
        <w:rPr>
          <w:rStyle w:val="rvts15"/>
          <w:b/>
          <w:sz w:val="28"/>
          <w:szCs w:val="28"/>
          <w:lang w:val="uk-UA"/>
        </w:rPr>
        <w:t>підприємництва</w:t>
      </w:r>
      <w:r w:rsidRPr="00CF2673">
        <w:rPr>
          <w:rStyle w:val="rvts15"/>
          <w:b/>
          <w:sz w:val="28"/>
          <w:szCs w:val="28"/>
        </w:rPr>
        <w:t xml:space="preserve"> (М-Тест)</w:t>
      </w:r>
    </w:p>
    <w:p w:rsidR="006471B6" w:rsidRPr="00CF2673" w:rsidRDefault="006471B6" w:rsidP="006471B6">
      <w:pPr>
        <w:pStyle w:val="rvps7"/>
        <w:spacing w:before="0" w:beforeAutospacing="0" w:after="0" w:afterAutospacing="0"/>
        <w:ind w:firstLine="709"/>
        <w:jc w:val="center"/>
        <w:rPr>
          <w:rStyle w:val="rvts15"/>
          <w:b/>
          <w:lang w:val="uk-UA"/>
        </w:rPr>
      </w:pPr>
    </w:p>
    <w:p w:rsidR="006471B6" w:rsidRPr="00CF2673" w:rsidRDefault="006471B6" w:rsidP="006471B6">
      <w:pPr>
        <w:pStyle w:val="rvps2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CF2673">
        <w:rPr>
          <w:b/>
          <w:sz w:val="28"/>
          <w:szCs w:val="28"/>
          <w:lang w:val="uk-UA"/>
        </w:rPr>
        <w:t>1. Консультації з представниками мікро- та малого підприємництва щодо оцінки впливу регулювання</w:t>
      </w:r>
    </w:p>
    <w:p w:rsidR="006471B6" w:rsidRPr="00CF2673" w:rsidRDefault="006471B6" w:rsidP="006471B6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F2673">
        <w:rPr>
          <w:sz w:val="28"/>
          <w:szCs w:val="28"/>
          <w:lang w:val="uk-UA"/>
        </w:rPr>
        <w:t>Консультації щодо визначення впливу запропонованого регулювання на суб’єктів малого підприємництва та визначення детального переліку                       процедур, виконання яких необхідно для здійснення регулювання, проведено розробником у період з 12.02.2019р. по 01.04.2019 р.</w:t>
      </w:r>
    </w:p>
    <w:p w:rsidR="006471B6" w:rsidRPr="00AA78E0" w:rsidRDefault="006471B6" w:rsidP="006471B6">
      <w:pPr>
        <w:pStyle w:val="rvps2"/>
        <w:spacing w:before="0" w:beforeAutospacing="0" w:after="0" w:afterAutospacing="0"/>
        <w:ind w:firstLine="709"/>
        <w:jc w:val="both"/>
        <w:rPr>
          <w:color w:val="FF0000"/>
          <w:sz w:val="16"/>
          <w:szCs w:val="16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2127"/>
        <w:gridCol w:w="3543"/>
      </w:tblGrid>
      <w:tr w:rsidR="006471B6" w:rsidRPr="00761EE0" w:rsidTr="003D0A37">
        <w:trPr>
          <w:trHeight w:val="923"/>
        </w:trPr>
        <w:tc>
          <w:tcPr>
            <w:tcW w:w="675" w:type="dxa"/>
            <w:vAlign w:val="center"/>
          </w:tcPr>
          <w:p w:rsidR="006471B6" w:rsidRPr="00761EE0" w:rsidRDefault="006471B6" w:rsidP="003D0A37">
            <w:pPr>
              <w:pStyle w:val="rvps2"/>
              <w:jc w:val="center"/>
              <w:rPr>
                <w:lang w:val="uk-UA"/>
              </w:rPr>
            </w:pPr>
            <w:r w:rsidRPr="00761EE0">
              <w:rPr>
                <w:lang w:val="uk-UA"/>
              </w:rPr>
              <w:t>№ з/п</w:t>
            </w:r>
          </w:p>
        </w:tc>
        <w:tc>
          <w:tcPr>
            <w:tcW w:w="3402" w:type="dxa"/>
            <w:vAlign w:val="center"/>
          </w:tcPr>
          <w:p w:rsidR="006471B6" w:rsidRPr="00761EE0" w:rsidRDefault="006471B6" w:rsidP="003D0A37">
            <w:pPr>
              <w:pStyle w:val="rvps12"/>
              <w:jc w:val="center"/>
              <w:rPr>
                <w:lang w:val="uk-UA"/>
              </w:rPr>
            </w:pPr>
            <w:r w:rsidRPr="00761EE0">
              <w:rPr>
                <w:lang w:val="uk-UA"/>
              </w:rPr>
              <w:t>Вид консультації</w:t>
            </w:r>
          </w:p>
        </w:tc>
        <w:tc>
          <w:tcPr>
            <w:tcW w:w="2127" w:type="dxa"/>
            <w:vAlign w:val="center"/>
          </w:tcPr>
          <w:p w:rsidR="006471B6" w:rsidRPr="00761EE0" w:rsidRDefault="006471B6" w:rsidP="003D0A37">
            <w:pPr>
              <w:pStyle w:val="rvps12"/>
              <w:jc w:val="center"/>
              <w:rPr>
                <w:lang w:val="uk-UA"/>
              </w:rPr>
            </w:pPr>
            <w:r w:rsidRPr="00761EE0">
              <w:rPr>
                <w:lang w:val="uk-UA"/>
              </w:rPr>
              <w:t>Кількість учасників                консультацій, осіб</w:t>
            </w:r>
          </w:p>
        </w:tc>
        <w:tc>
          <w:tcPr>
            <w:tcW w:w="3543" w:type="dxa"/>
            <w:vAlign w:val="center"/>
          </w:tcPr>
          <w:p w:rsidR="006471B6" w:rsidRPr="00761EE0" w:rsidRDefault="006471B6" w:rsidP="003D0A37">
            <w:pPr>
              <w:pStyle w:val="rvps2"/>
              <w:jc w:val="center"/>
              <w:rPr>
                <w:lang w:val="uk-UA"/>
              </w:rPr>
            </w:pPr>
            <w:r w:rsidRPr="00761EE0">
              <w:rPr>
                <w:lang w:val="uk-UA"/>
              </w:rPr>
              <w:t>Основні результати    консультацій (опис)</w:t>
            </w:r>
          </w:p>
        </w:tc>
      </w:tr>
      <w:tr w:rsidR="006471B6" w:rsidRPr="00761EE0" w:rsidTr="00761EE0">
        <w:trPr>
          <w:trHeight w:val="1086"/>
        </w:trPr>
        <w:tc>
          <w:tcPr>
            <w:tcW w:w="675" w:type="dxa"/>
            <w:vAlign w:val="center"/>
          </w:tcPr>
          <w:p w:rsidR="006471B6" w:rsidRPr="00761EE0" w:rsidRDefault="006471B6" w:rsidP="00761EE0">
            <w:pPr>
              <w:pStyle w:val="rvps2"/>
              <w:jc w:val="center"/>
              <w:rPr>
                <w:lang w:val="uk-UA"/>
              </w:rPr>
            </w:pPr>
            <w:r w:rsidRPr="00761EE0">
              <w:rPr>
                <w:lang w:val="uk-UA"/>
              </w:rPr>
              <w:t>1</w:t>
            </w:r>
          </w:p>
        </w:tc>
        <w:tc>
          <w:tcPr>
            <w:tcW w:w="3402" w:type="dxa"/>
            <w:vAlign w:val="center"/>
          </w:tcPr>
          <w:p w:rsidR="006471B6" w:rsidRPr="00761EE0" w:rsidRDefault="006471B6" w:rsidP="00761EE0">
            <w:pPr>
              <w:pStyle w:val="rvps2"/>
              <w:jc w:val="center"/>
              <w:rPr>
                <w:lang w:val="uk-UA"/>
              </w:rPr>
            </w:pPr>
            <w:r w:rsidRPr="00761EE0">
              <w:rPr>
                <w:lang w:val="uk-UA"/>
              </w:rPr>
              <w:t xml:space="preserve">Робоча </w:t>
            </w:r>
            <w:r w:rsidR="00761EE0">
              <w:rPr>
                <w:lang w:val="uk-UA"/>
              </w:rPr>
              <w:t>нарада з пр</w:t>
            </w:r>
            <w:r w:rsidRPr="00761EE0">
              <w:rPr>
                <w:lang w:val="uk-UA"/>
              </w:rPr>
              <w:t>едставниками</w:t>
            </w:r>
            <w:r w:rsidR="00761EE0">
              <w:rPr>
                <w:lang w:val="uk-UA"/>
              </w:rPr>
              <w:t xml:space="preserve"> адміністрації КП МТК "Калинівський ринок"</w:t>
            </w:r>
          </w:p>
        </w:tc>
        <w:tc>
          <w:tcPr>
            <w:tcW w:w="2127" w:type="dxa"/>
            <w:vAlign w:val="center"/>
          </w:tcPr>
          <w:p w:rsidR="006471B6" w:rsidRPr="00761EE0" w:rsidRDefault="00761EE0" w:rsidP="00761EE0">
            <w:pPr>
              <w:pStyle w:val="rvps2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543" w:type="dxa"/>
            <w:vAlign w:val="center"/>
          </w:tcPr>
          <w:p w:rsidR="006471B6" w:rsidRPr="00761EE0" w:rsidRDefault="00761EE0" w:rsidP="00761E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1EE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Позитивно оцінюють та підтримують запропоноване регулювання</w:t>
            </w:r>
          </w:p>
        </w:tc>
      </w:tr>
      <w:tr w:rsidR="006471B6" w:rsidRPr="00761EE0" w:rsidTr="00761EE0">
        <w:trPr>
          <w:trHeight w:val="691"/>
        </w:trPr>
        <w:tc>
          <w:tcPr>
            <w:tcW w:w="675" w:type="dxa"/>
            <w:vAlign w:val="center"/>
          </w:tcPr>
          <w:p w:rsidR="006471B6" w:rsidRPr="00761EE0" w:rsidRDefault="00761EE0" w:rsidP="00761EE0">
            <w:pPr>
              <w:pStyle w:val="rvps2"/>
              <w:jc w:val="center"/>
              <w:rPr>
                <w:lang w:val="uk-UA"/>
              </w:rPr>
            </w:pPr>
            <w:r w:rsidRPr="00761EE0">
              <w:rPr>
                <w:lang w:val="uk-UA"/>
              </w:rPr>
              <w:t>2</w:t>
            </w:r>
          </w:p>
        </w:tc>
        <w:tc>
          <w:tcPr>
            <w:tcW w:w="3402" w:type="dxa"/>
            <w:vAlign w:val="center"/>
          </w:tcPr>
          <w:p w:rsidR="006471B6" w:rsidRPr="00761EE0" w:rsidRDefault="00761EE0" w:rsidP="00761EE0">
            <w:pPr>
              <w:pStyle w:val="rvps2"/>
              <w:jc w:val="center"/>
              <w:rPr>
                <w:lang w:val="uk-UA"/>
              </w:rPr>
            </w:pPr>
            <w:r w:rsidRPr="00761EE0">
              <w:rPr>
                <w:lang w:val="uk-UA"/>
              </w:rPr>
              <w:t>Консультації в телефонному та усному режимі</w:t>
            </w:r>
          </w:p>
        </w:tc>
        <w:tc>
          <w:tcPr>
            <w:tcW w:w="2127" w:type="dxa"/>
            <w:vAlign w:val="center"/>
          </w:tcPr>
          <w:p w:rsidR="006471B6" w:rsidRPr="00761EE0" w:rsidRDefault="00F13F6B" w:rsidP="00761EE0">
            <w:pPr>
              <w:pStyle w:val="rvps2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543" w:type="dxa"/>
            <w:vAlign w:val="center"/>
          </w:tcPr>
          <w:p w:rsidR="006471B6" w:rsidRPr="00761EE0" w:rsidRDefault="00761EE0" w:rsidP="00761EE0">
            <w:pPr>
              <w:pStyle w:val="rvps2"/>
              <w:jc w:val="center"/>
              <w:rPr>
                <w:lang w:val="uk-UA"/>
              </w:rPr>
            </w:pPr>
            <w:r w:rsidRPr="00761EE0">
              <w:rPr>
                <w:lang w:eastAsia="uk-UA"/>
              </w:rPr>
              <w:t>Позитивно оцінюють та підтримують запропоноване регулювання</w:t>
            </w:r>
          </w:p>
        </w:tc>
      </w:tr>
    </w:tbl>
    <w:p w:rsidR="006471B6" w:rsidRPr="00AA78E0" w:rsidRDefault="006471B6" w:rsidP="006471B6">
      <w:pPr>
        <w:pStyle w:val="rvps2"/>
        <w:spacing w:before="0" w:beforeAutospacing="0" w:after="0" w:afterAutospacing="0"/>
        <w:ind w:firstLine="709"/>
        <w:jc w:val="both"/>
        <w:rPr>
          <w:b/>
          <w:color w:val="FF0000"/>
          <w:sz w:val="20"/>
          <w:szCs w:val="20"/>
          <w:lang w:val="uk-UA"/>
        </w:rPr>
      </w:pPr>
    </w:p>
    <w:p w:rsidR="006471B6" w:rsidRPr="006B4F43" w:rsidRDefault="006471B6" w:rsidP="006471B6">
      <w:pPr>
        <w:pStyle w:val="rvps2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6B4F43">
        <w:rPr>
          <w:b/>
          <w:sz w:val="28"/>
          <w:szCs w:val="28"/>
          <w:lang w:val="uk-UA"/>
        </w:rPr>
        <w:t>2. Вимірювання впливу регулювання на суб’єктів малого підприємництва (мікро- та малі):</w:t>
      </w:r>
    </w:p>
    <w:p w:rsidR="006471B6" w:rsidRPr="006B4F43" w:rsidRDefault="006B4F43" w:rsidP="006471B6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6471B6" w:rsidRPr="006B4F43">
        <w:rPr>
          <w:sz w:val="28"/>
          <w:szCs w:val="28"/>
          <w:lang w:val="uk-UA"/>
        </w:rPr>
        <w:t xml:space="preserve">ількість суб’єктів малого підприємництва, на яких поширюється регулювання: </w:t>
      </w:r>
      <w:r w:rsidRPr="005D423F">
        <w:rPr>
          <w:sz w:val="28"/>
          <w:szCs w:val="28"/>
          <w:lang w:val="uk-UA"/>
        </w:rPr>
        <w:t>826</w:t>
      </w:r>
      <w:r w:rsidR="006471B6" w:rsidRPr="005D423F">
        <w:rPr>
          <w:sz w:val="28"/>
          <w:szCs w:val="28"/>
          <w:lang w:val="uk-UA"/>
        </w:rPr>
        <w:t xml:space="preserve"> одиниць, у тому числі малого підприємництва </w:t>
      </w:r>
      <w:r w:rsidRPr="005D423F">
        <w:rPr>
          <w:sz w:val="28"/>
          <w:szCs w:val="28"/>
          <w:lang w:val="uk-UA"/>
        </w:rPr>
        <w:t>113</w:t>
      </w:r>
      <w:r w:rsidR="006471B6" w:rsidRPr="005D423F">
        <w:rPr>
          <w:sz w:val="28"/>
          <w:szCs w:val="28"/>
          <w:lang w:val="uk-UA"/>
        </w:rPr>
        <w:t xml:space="preserve"> одиниць та мікропідприємництва - </w:t>
      </w:r>
      <w:r w:rsidRPr="005D423F">
        <w:rPr>
          <w:sz w:val="28"/>
          <w:szCs w:val="28"/>
          <w:lang w:val="uk-UA"/>
        </w:rPr>
        <w:t xml:space="preserve">713 </w:t>
      </w:r>
      <w:r w:rsidR="006471B6" w:rsidRPr="005D423F">
        <w:rPr>
          <w:sz w:val="28"/>
          <w:szCs w:val="28"/>
          <w:lang w:val="uk-UA"/>
        </w:rPr>
        <w:t>одиниць</w:t>
      </w:r>
      <w:r w:rsidRPr="005D423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6B4F43">
        <w:rPr>
          <w:sz w:val="28"/>
          <w:szCs w:val="28"/>
          <w:lang w:val="uk-UA"/>
        </w:rPr>
        <w:t>П</w:t>
      </w:r>
      <w:r w:rsidR="006471B6" w:rsidRPr="006B4F43">
        <w:rPr>
          <w:sz w:val="28"/>
          <w:szCs w:val="28"/>
          <w:lang w:val="uk-UA"/>
        </w:rPr>
        <w:t xml:space="preserve">итома вага групи у загальній кількості суб’єктів господарювання, на яких проблема справляє вплив складає </w:t>
      </w:r>
      <w:r w:rsidR="005D423F">
        <w:rPr>
          <w:sz w:val="28"/>
          <w:szCs w:val="28"/>
          <w:lang w:val="uk-UA"/>
        </w:rPr>
        <w:t>100</w:t>
      </w:r>
      <w:r w:rsidR="006471B6" w:rsidRPr="006B4F43">
        <w:rPr>
          <w:sz w:val="28"/>
          <w:szCs w:val="28"/>
          <w:lang w:val="uk-UA"/>
        </w:rPr>
        <w:t>% (відповідно до таблиці «Оцінка впливу на сферу інтересів суб’єктів господарювання»).</w:t>
      </w:r>
    </w:p>
    <w:p w:rsidR="003D0A37" w:rsidRPr="00AA78E0" w:rsidRDefault="003D0A37" w:rsidP="006471B6">
      <w:pPr>
        <w:pStyle w:val="rvps2"/>
        <w:spacing w:before="0" w:beforeAutospacing="0" w:after="0" w:afterAutospacing="0"/>
        <w:ind w:firstLine="709"/>
        <w:jc w:val="both"/>
        <w:rPr>
          <w:b/>
          <w:color w:val="FF0000"/>
          <w:sz w:val="16"/>
          <w:szCs w:val="16"/>
          <w:lang w:val="uk-UA"/>
        </w:rPr>
      </w:pPr>
    </w:p>
    <w:p w:rsidR="006471B6" w:rsidRPr="006C39E4" w:rsidRDefault="006471B6" w:rsidP="006471B6">
      <w:pPr>
        <w:pStyle w:val="rvps2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6C39E4">
        <w:rPr>
          <w:b/>
          <w:sz w:val="28"/>
          <w:szCs w:val="28"/>
          <w:lang w:val="uk-UA"/>
        </w:rPr>
        <w:t>3. Розрахунок витрат суб’єктів малого підприємництва на виконання вимог регулювання</w:t>
      </w:r>
    </w:p>
    <w:tbl>
      <w:tblPr>
        <w:tblW w:w="9674" w:type="dxa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460"/>
        <w:gridCol w:w="1143"/>
        <w:gridCol w:w="1228"/>
        <w:gridCol w:w="1509"/>
        <w:gridCol w:w="70"/>
        <w:gridCol w:w="2126"/>
        <w:gridCol w:w="70"/>
        <w:gridCol w:w="1347"/>
        <w:gridCol w:w="1701"/>
      </w:tblGrid>
      <w:tr w:rsidR="006471B6" w:rsidRPr="006C39E4" w:rsidTr="007C44E7">
        <w:trPr>
          <w:trHeight w:val="1328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№ з/п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оцінки</w:t>
            </w:r>
          </w:p>
        </w:tc>
        <w:tc>
          <w:tcPr>
            <w:tcW w:w="2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У перший рік (стартовий рік впровадження регулювання)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Періодичні (за наступний рік)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Витрати за </w:t>
            </w: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п’ять років</w:t>
            </w:r>
          </w:p>
        </w:tc>
      </w:tr>
      <w:tr w:rsidR="006471B6" w:rsidRPr="00AA78E0" w:rsidTr="003E0168">
        <w:trPr>
          <w:trHeight w:val="429"/>
        </w:trPr>
        <w:tc>
          <w:tcPr>
            <w:tcW w:w="96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Оцінка «прямих» витрат суб’єктів малого підприємництва на виконання регулювання</w:t>
            </w:r>
          </w:p>
        </w:tc>
      </w:tr>
      <w:tr w:rsidR="006471B6" w:rsidRPr="00AA78E0" w:rsidTr="007C44E7">
        <w:trPr>
          <w:trHeight w:val="563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Придбання необхідного обладнання (пристроїв, машин, механізмів)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6471B6" w:rsidRPr="00AA78E0" w:rsidTr="007C44E7">
        <w:trPr>
          <w:trHeight w:val="968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Процедури повірки та/або постановки на відповідний облік у визначеному органі державної влади чи місцевого самоврядування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6471B6" w:rsidRPr="00AA78E0" w:rsidTr="007C44E7">
        <w:trPr>
          <w:trHeight w:val="573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Процедури експлуатації обладнання (експлуатаційні витрати - витратні матеріали)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6471B6" w:rsidRPr="00AA78E0" w:rsidTr="007C44E7">
        <w:trPr>
          <w:trHeight w:val="584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Процедури обслуговування обладнання (технічне обслуговування)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1B6" w:rsidRPr="006C39E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6471B6" w:rsidRPr="00AA78E0" w:rsidTr="007C44E7">
        <w:trPr>
          <w:trHeight w:val="993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7C44E7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44E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C5F" w:rsidRDefault="006471B6" w:rsidP="007C44E7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44E7">
              <w:rPr>
                <w:rFonts w:ascii="Times New Roman" w:hAnsi="Times New Roman"/>
                <w:sz w:val="24"/>
                <w:szCs w:val="24"/>
                <w:lang w:val="uk-UA"/>
              </w:rPr>
              <w:t>Інші процедури</w:t>
            </w:r>
            <w:r w:rsidR="00C75C5F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C75C5F" w:rsidRDefault="00C75C5F" w:rsidP="007C44E7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7C44E7" w:rsidRPr="007C44E7">
              <w:rPr>
                <w:rFonts w:ascii="Times New Roman" w:hAnsi="Times New Roman"/>
                <w:sz w:val="24"/>
                <w:szCs w:val="24"/>
                <w:lang w:val="uk-UA"/>
              </w:rPr>
              <w:t>сплата реєстраційного внеску за участь в аукціоні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грн.;</w:t>
            </w:r>
          </w:p>
          <w:p w:rsidR="006471B6" w:rsidRPr="007C44E7" w:rsidRDefault="007C44E7" w:rsidP="00C75C5F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44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75C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сплата </w:t>
            </w:r>
            <w:r w:rsidRPr="007C44E7">
              <w:rPr>
                <w:rFonts w:ascii="Times New Roman" w:hAnsi="Times New Roman"/>
                <w:sz w:val="24"/>
                <w:szCs w:val="24"/>
                <w:lang w:val="uk-UA"/>
              </w:rPr>
              <w:t>винагород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7C44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випадку отримання перемоги оператору системи у розмірі 5%), грн.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C5F" w:rsidRPr="005D423F" w:rsidRDefault="00C75C5F" w:rsidP="007C44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75C5F" w:rsidRPr="005D423F" w:rsidRDefault="00C75C5F" w:rsidP="007C44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17,00</w:t>
            </w:r>
          </w:p>
          <w:p w:rsidR="00C75C5F" w:rsidRPr="005D423F" w:rsidRDefault="00C75C5F" w:rsidP="007C44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6471B6" w:rsidRPr="005D423F" w:rsidRDefault="007C44E7" w:rsidP="00C75C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137</w:t>
            </w:r>
            <w:r w:rsidR="00C75C5F"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66,50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Default="007C44E7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  <w:p w:rsidR="007C44E7" w:rsidRPr="00AA78E0" w:rsidRDefault="007C44E7" w:rsidP="007C44E7">
            <w:pPr>
              <w:pStyle w:val="aa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(сплачується один раз)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4E7" w:rsidRDefault="007C44E7" w:rsidP="0008336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39E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  <w:p w:rsidR="006471B6" w:rsidRPr="00AA78E0" w:rsidRDefault="007C44E7" w:rsidP="00083366">
            <w:pPr>
              <w:pStyle w:val="aa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(сплачується один раз)</w:t>
            </w:r>
          </w:p>
        </w:tc>
      </w:tr>
      <w:tr w:rsidR="006471B6" w:rsidRPr="00AA78E0" w:rsidTr="007C44E7">
        <w:trPr>
          <w:trHeight w:val="234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BE28D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28D4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Default="006471B6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28D4">
              <w:rPr>
                <w:rFonts w:ascii="Times New Roman" w:hAnsi="Times New Roman"/>
                <w:sz w:val="24"/>
                <w:szCs w:val="24"/>
                <w:lang w:val="uk-UA"/>
              </w:rPr>
              <w:t>Разом, гривень</w:t>
            </w:r>
            <w:r w:rsidR="00C75C5F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C75C5F" w:rsidRDefault="00C75C5F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при умові прийняття участі у торгах (аукціоні)</w:t>
            </w:r>
          </w:p>
          <w:p w:rsidR="00C75C5F" w:rsidRPr="00BE28D4" w:rsidRDefault="00C75C5F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у випадку отримання перемоги у торгах (аукціоні)</w:t>
            </w:r>
          </w:p>
          <w:p w:rsidR="006471B6" w:rsidRPr="00BE28D4" w:rsidRDefault="006471B6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28D4">
              <w:rPr>
                <w:rFonts w:ascii="Times New Roman" w:hAnsi="Times New Roman"/>
                <w:sz w:val="24"/>
                <w:szCs w:val="24"/>
                <w:lang w:val="uk-UA"/>
              </w:rPr>
              <w:t>Формула: ( сума рядків 1+2+3+4+5)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C5F" w:rsidRPr="005D423F" w:rsidRDefault="00C75C5F" w:rsidP="00C75C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17,00</w:t>
            </w:r>
          </w:p>
          <w:p w:rsidR="00C75C5F" w:rsidRPr="005D423F" w:rsidRDefault="00C75C5F" w:rsidP="003E0168">
            <w:pPr>
              <w:pStyle w:val="aa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6471B6" w:rsidRPr="005D423F" w:rsidRDefault="00BE28D4" w:rsidP="003E0168">
            <w:pPr>
              <w:pStyle w:val="aa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5D423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13783,50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BE28D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28D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1B6" w:rsidRPr="00BE28D4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28D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326BB1" w:rsidRPr="00AA78E0" w:rsidTr="007C44E7">
        <w:trPr>
          <w:trHeight w:val="525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326BB1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6BB1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326BB1" w:rsidRDefault="00326BB1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6BB1">
              <w:rPr>
                <w:rFonts w:ascii="Times New Roman" w:hAnsi="Times New Roman"/>
                <w:sz w:val="24"/>
                <w:szCs w:val="24"/>
                <w:lang w:val="uk-UA"/>
              </w:rPr>
              <w:t>Кількість суб’єктів господарювання, що повинні виконати вимоги регулювання, одиниць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163B" w:rsidRPr="005D423F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826</w:t>
            </w:r>
          </w:p>
          <w:p w:rsidR="00326BB1" w:rsidRPr="005D423F" w:rsidRDefault="008D163B" w:rsidP="009F614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9F6142" w:rsidRPr="005D423F">
              <w:rPr>
                <w:rFonts w:ascii="Times New Roman" w:hAnsi="Times New Roman"/>
                <w:sz w:val="24"/>
                <w:szCs w:val="24"/>
                <w:lang w:val="uk-UA"/>
              </w:rPr>
              <w:t>при</w:t>
            </w: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реєстрації як учасника торгів (аукціону)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BE28D4" w:rsidRDefault="00326BB1" w:rsidP="0092410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28D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BB1" w:rsidRPr="00BE28D4" w:rsidRDefault="00326BB1" w:rsidP="0092410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28D4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326BB1" w:rsidRPr="00326BB1" w:rsidTr="007C44E7">
        <w:trPr>
          <w:trHeight w:val="351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326BB1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6BB1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326BB1" w:rsidRDefault="00326BB1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6BB1">
              <w:rPr>
                <w:rFonts w:ascii="Times New Roman" w:hAnsi="Times New Roman"/>
                <w:sz w:val="24"/>
                <w:szCs w:val="24"/>
                <w:lang w:val="uk-UA"/>
              </w:rPr>
              <w:t>Сумарно, гривень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5D423F" w:rsidRDefault="006C38A1" w:rsidP="00A6621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27808,50</w:t>
            </w:r>
            <w:r w:rsidR="00326BB1" w:rsidRPr="005D42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26BB1" w:rsidRPr="005D423F" w:rsidRDefault="00001E35" w:rsidP="006C38A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(у випадку реєстрації</w:t>
            </w:r>
            <w:r w:rsidR="006C38A1" w:rsidRPr="005D42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всіх суб'єктів,</w:t>
            </w: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як учасник</w:t>
            </w:r>
            <w:r w:rsidR="006C38A1" w:rsidRPr="005D423F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торгів (аукціону)</w:t>
            </w:r>
            <w:r w:rsidR="006C38A1" w:rsidRPr="005D423F">
              <w:rPr>
                <w:rFonts w:ascii="Times New Roman" w:hAnsi="Times New Roman"/>
                <w:sz w:val="24"/>
                <w:szCs w:val="24"/>
                <w:lang w:val="uk-UA"/>
              </w:rPr>
              <w:t>, і визначення одного переможця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326BB1" w:rsidRDefault="00326BB1" w:rsidP="00AA78E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6BB1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BB1" w:rsidRPr="00326BB1" w:rsidRDefault="00326BB1" w:rsidP="00277BA1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26BB1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326BB1" w:rsidRPr="00AA78E0" w:rsidTr="009A07BF">
        <w:trPr>
          <w:trHeight w:val="611"/>
        </w:trPr>
        <w:tc>
          <w:tcPr>
            <w:tcW w:w="96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BB1" w:rsidRPr="005D423F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Оцінка вартості адміністративних процедур суб’єктів малого підприємництва щодо виконання регулювання та звітування</w:t>
            </w:r>
          </w:p>
        </w:tc>
      </w:tr>
      <w:tr w:rsidR="00326BB1" w:rsidRPr="007144FB" w:rsidTr="007C44E7">
        <w:trPr>
          <w:trHeight w:val="2596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7144FB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44F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BB1" w:rsidRPr="007144FB" w:rsidRDefault="00326BB1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44FB">
              <w:rPr>
                <w:rFonts w:ascii="Times New Roman" w:hAnsi="Times New Roman"/>
                <w:sz w:val="24"/>
                <w:szCs w:val="24"/>
                <w:lang w:val="uk-UA"/>
              </w:rPr>
              <w:t>Процедури отримання первинної інформації про вимоги регулювання</w:t>
            </w:r>
          </w:p>
          <w:p w:rsidR="00326BB1" w:rsidRPr="007144FB" w:rsidRDefault="00326BB1" w:rsidP="003E0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144F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>Формула:</w:t>
            </w:r>
          </w:p>
          <w:p w:rsidR="00326BB1" w:rsidRPr="007144FB" w:rsidRDefault="00326BB1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44F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витрати часу на отримання інформації про регулювання, отримання необхідних форм та заявок Х вартість часу суб'єкта малого підприємництва (заробітна плата) Х оціночна кількість форм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5D423F" w:rsidRDefault="00570EDE" w:rsidP="003E0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26BB1"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год</w:t>
            </w:r>
            <w:r w:rsidR="007A60EF"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326BB1"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(час, який витрачається с/г на пошук рішення в мережі Інтернет та ознайомлення з </w:t>
            </w:r>
            <w:r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умовами торгів (аукціонів)</w:t>
            </w:r>
            <w:r w:rsidR="00326BB1"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Х 2</w:t>
            </w:r>
            <w:r w:rsidR="007A60EF"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 w:rsidR="00326BB1"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7A60EF"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</w:t>
            </w:r>
            <w:r w:rsidR="00326BB1"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грн. =</w:t>
            </w:r>
          </w:p>
          <w:p w:rsidR="00326BB1" w:rsidRPr="005D423F" w:rsidRDefault="00570EDE" w:rsidP="003E0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7A60EF"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9,70</w:t>
            </w:r>
            <w:r w:rsidR="00326BB1" w:rsidRPr="005D42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грн.</w:t>
            </w:r>
          </w:p>
          <w:p w:rsidR="00326BB1" w:rsidRPr="005D423F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7144FB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44FB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BB1" w:rsidRPr="007144FB" w:rsidRDefault="00326BB1" w:rsidP="003E0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44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</w:tr>
      <w:tr w:rsidR="00326BB1" w:rsidRPr="00717DF0" w:rsidTr="007C44E7">
        <w:trPr>
          <w:trHeight w:val="23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717DF0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7DF0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BB1" w:rsidRPr="00717DF0" w:rsidRDefault="00326BB1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7DF0">
              <w:rPr>
                <w:rFonts w:ascii="Times New Roman" w:hAnsi="Times New Roman"/>
                <w:sz w:val="24"/>
                <w:szCs w:val="24"/>
                <w:lang w:val="uk-UA"/>
              </w:rPr>
              <w:t>Процедури організації виконання вимог регулювання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717DF0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7DF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717DF0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7DF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BB1" w:rsidRPr="00717DF0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7DF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326BB1" w:rsidRPr="00717DF0" w:rsidTr="007C44E7">
        <w:trPr>
          <w:trHeight w:val="23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717DF0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7DF0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BB1" w:rsidRPr="00717DF0" w:rsidRDefault="00326BB1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7DF0">
              <w:rPr>
                <w:rFonts w:ascii="Times New Roman" w:hAnsi="Times New Roman"/>
                <w:sz w:val="24"/>
                <w:szCs w:val="24"/>
                <w:lang w:val="uk-UA"/>
              </w:rPr>
              <w:t>Процедури офіційного звітування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717DF0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7DF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717DF0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7DF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BB1" w:rsidRPr="00717DF0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7DF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326BB1" w:rsidRPr="00717DF0" w:rsidTr="007C44E7">
        <w:trPr>
          <w:trHeight w:val="23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717DF0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7DF0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BB1" w:rsidRPr="00717DF0" w:rsidRDefault="00326BB1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7DF0">
              <w:rPr>
                <w:rFonts w:ascii="Times New Roman" w:hAnsi="Times New Roman"/>
                <w:sz w:val="24"/>
                <w:szCs w:val="24"/>
                <w:lang w:val="uk-UA"/>
              </w:rPr>
              <w:t>Процедури щодо забезпечення процесу перевірок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717DF0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7DF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717DF0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7DF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BB1" w:rsidRPr="00717DF0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17DF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326BB1" w:rsidRPr="005D423F" w:rsidTr="007C44E7">
        <w:trPr>
          <w:trHeight w:val="23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5D423F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BB1" w:rsidRPr="005D423F" w:rsidRDefault="00326BB1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Інші процедури </w:t>
            </w:r>
          </w:p>
          <w:p w:rsidR="007A60EF" w:rsidRPr="005D423F" w:rsidRDefault="007A60EF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A60EF" w:rsidRPr="005D423F" w:rsidRDefault="007A60EF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Участь у торгах прозоро </w:t>
            </w:r>
            <w:r w:rsidR="005D38A5" w:rsidRPr="005D423F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1 год</w:t>
            </w:r>
            <w:r w:rsidR="005D38A5" w:rsidRPr="005D423F">
              <w:rPr>
                <w:rFonts w:ascii="Times New Roman" w:hAnsi="Times New Roman"/>
                <w:sz w:val="24"/>
                <w:szCs w:val="24"/>
                <w:lang w:val="uk-UA"/>
              </w:rPr>
              <w:t>ина)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5D423F" w:rsidRDefault="007A60EF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29,70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5D423F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BB1" w:rsidRPr="005D423F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326BB1" w:rsidRPr="005D423F" w:rsidTr="007C44E7">
        <w:trPr>
          <w:trHeight w:val="23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5D423F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BB1" w:rsidRPr="005D423F" w:rsidRDefault="00326BB1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Разом, гривень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5D423F" w:rsidRDefault="007A60EF" w:rsidP="007A60E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59,40</w:t>
            </w:r>
            <w:r w:rsidR="00326BB1" w:rsidRPr="005D423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5D423F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BB1" w:rsidRPr="005D423F" w:rsidRDefault="00717DF0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="00326BB1" w:rsidRPr="005D423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326BB1" w:rsidRPr="005D423F" w:rsidTr="007C44E7">
        <w:trPr>
          <w:trHeight w:val="23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5D423F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BB1" w:rsidRPr="005D423F" w:rsidRDefault="00326BB1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Кількість суб’єктів малого підприємництва, що повинні виконати вимоги регулювання, одиниць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DF0" w:rsidRPr="005D423F" w:rsidRDefault="00717DF0" w:rsidP="00717DF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826</w:t>
            </w:r>
          </w:p>
          <w:p w:rsidR="00326BB1" w:rsidRPr="005D423F" w:rsidRDefault="00717DF0" w:rsidP="00717DF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(при реєстрації як учасника торгів (аукціону)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5D423F" w:rsidRDefault="00717DF0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BB1" w:rsidRPr="005D423F" w:rsidRDefault="00717DF0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326BB1" w:rsidRPr="00717DF0" w:rsidTr="007C44E7">
        <w:trPr>
          <w:trHeight w:val="23"/>
        </w:trPr>
        <w:tc>
          <w:tcPr>
            <w:tcW w:w="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5D423F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6BB1" w:rsidRPr="005D423F" w:rsidRDefault="00326BB1" w:rsidP="003E016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Сумарно, гривень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5D423F" w:rsidRDefault="007A60EF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49064,40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6BB1" w:rsidRPr="005D423F" w:rsidRDefault="00326BB1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6BB1" w:rsidRPr="00717DF0" w:rsidRDefault="00717DF0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423F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326BB1" w:rsidRPr="00AA78E0" w:rsidTr="003E0168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5"/>
          <w:wBefore w:w="20" w:type="dxa"/>
          <w:wAfter w:w="5314" w:type="dxa"/>
          <w:trHeight w:val="15"/>
        </w:trPr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6BB1" w:rsidRPr="00AA78E0" w:rsidRDefault="00326BB1" w:rsidP="003E0168">
            <w:pPr>
              <w:pStyle w:val="rvps14"/>
              <w:rPr>
                <w:color w:val="FF0000"/>
                <w:sz w:val="2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326BB1" w:rsidRPr="00AA78E0" w:rsidRDefault="00326BB1" w:rsidP="003E0168">
            <w:pPr>
              <w:pStyle w:val="rvps12"/>
              <w:rPr>
                <w:color w:val="FF0000"/>
                <w:sz w:val="2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326BB1" w:rsidRPr="00AA78E0" w:rsidRDefault="00326BB1" w:rsidP="003E0168">
            <w:pPr>
              <w:pStyle w:val="rvps14"/>
              <w:rPr>
                <w:color w:val="FF0000"/>
                <w:sz w:val="2"/>
              </w:rPr>
            </w:pPr>
          </w:p>
        </w:tc>
      </w:tr>
    </w:tbl>
    <w:p w:rsidR="007A60EF" w:rsidRDefault="007A60EF" w:rsidP="00DB6093">
      <w:pPr>
        <w:pStyle w:val="aa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val="uk-UA" w:eastAsia="uk-UA"/>
        </w:rPr>
      </w:pPr>
    </w:p>
    <w:p w:rsidR="00D01B29" w:rsidRPr="00D01B29" w:rsidRDefault="00D01B29" w:rsidP="00DB6093">
      <w:pPr>
        <w:pStyle w:val="aa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D01B29">
        <w:rPr>
          <w:rFonts w:ascii="Times New Roman" w:eastAsia="Times New Roman" w:hAnsi="Times New Roman"/>
          <w:sz w:val="24"/>
          <w:szCs w:val="24"/>
          <w:lang w:val="uk-UA" w:eastAsia="uk-UA"/>
        </w:rPr>
        <w:t>Бюджетні витрати на адміністрування регулювання суб</w:t>
      </w:r>
      <w:r w:rsidRPr="00D01B29">
        <w:rPr>
          <w:rFonts w:ascii="Times New Roman" w:eastAsia="Times New Roman" w:hAnsi="Times New Roman"/>
          <w:sz w:val="24"/>
          <w:szCs w:val="24"/>
          <w:lang w:eastAsia="uk-UA"/>
        </w:rPr>
        <w:t>'</w:t>
      </w:r>
      <w:r w:rsidRPr="00D01B29">
        <w:rPr>
          <w:rFonts w:ascii="Times New Roman" w:eastAsia="Times New Roman" w:hAnsi="Times New Roman"/>
          <w:sz w:val="24"/>
          <w:szCs w:val="24"/>
          <w:lang w:val="uk-UA" w:eastAsia="uk-UA"/>
        </w:rPr>
        <w:t>єктів малого підприємництва не передбачені.</w:t>
      </w:r>
    </w:p>
    <w:p w:rsidR="009A07BF" w:rsidRPr="00D01B29" w:rsidRDefault="009A07BF" w:rsidP="009A07BF">
      <w:pPr>
        <w:pStyle w:val="aa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D01B29">
        <w:rPr>
          <w:rFonts w:ascii="Times New Roman" w:eastAsia="Times New Roman" w:hAnsi="Times New Roman"/>
          <w:sz w:val="24"/>
          <w:szCs w:val="24"/>
          <w:lang w:val="uk-UA" w:eastAsia="uk-UA"/>
        </w:rPr>
        <w:t>Інш</w:t>
      </w:r>
      <w:r w:rsidR="00D01B29" w:rsidRPr="00D01B29">
        <w:rPr>
          <w:rFonts w:ascii="Times New Roman" w:eastAsia="Times New Roman" w:hAnsi="Times New Roman"/>
          <w:sz w:val="24"/>
          <w:szCs w:val="24"/>
          <w:lang w:val="uk-UA" w:eastAsia="uk-UA"/>
        </w:rPr>
        <w:t>і</w:t>
      </w:r>
      <w:r w:rsidRPr="00D01B2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бюджетн</w:t>
      </w:r>
      <w:r w:rsidR="00D01B29" w:rsidRPr="00D01B29">
        <w:rPr>
          <w:rFonts w:ascii="Times New Roman" w:eastAsia="Times New Roman" w:hAnsi="Times New Roman"/>
          <w:sz w:val="24"/>
          <w:szCs w:val="24"/>
          <w:lang w:val="uk-UA" w:eastAsia="uk-UA"/>
        </w:rPr>
        <w:t>і</w:t>
      </w:r>
      <w:r w:rsidRPr="00D01B2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витрат</w:t>
      </w:r>
      <w:r w:rsidR="00D01B29" w:rsidRPr="00D01B29">
        <w:rPr>
          <w:rFonts w:ascii="Times New Roman" w:eastAsia="Times New Roman" w:hAnsi="Times New Roman"/>
          <w:sz w:val="24"/>
          <w:szCs w:val="24"/>
          <w:lang w:val="uk-UA" w:eastAsia="uk-UA"/>
        </w:rPr>
        <w:t>и</w:t>
      </w:r>
      <w:r w:rsidRPr="00D01B29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що виникають на виконання вимог регулювання, відсутні, оскільки </w:t>
      </w:r>
      <w:r w:rsidRPr="00D01B29">
        <w:rPr>
          <w:rFonts w:ascii="Times New Roman" w:hAnsi="Times New Roman"/>
          <w:sz w:val="24"/>
          <w:szCs w:val="24"/>
          <w:lang w:val="uk-UA"/>
        </w:rPr>
        <w:t>виконанням таких процедур</w:t>
      </w:r>
      <w:r w:rsidR="00D01B29" w:rsidRPr="00D01B29">
        <w:rPr>
          <w:rFonts w:ascii="Times New Roman" w:hAnsi="Times New Roman"/>
          <w:sz w:val="24"/>
          <w:szCs w:val="24"/>
          <w:lang w:val="uk-UA"/>
        </w:rPr>
        <w:t>,</w:t>
      </w:r>
      <w:r w:rsidRPr="00D01B29">
        <w:rPr>
          <w:rFonts w:ascii="Times New Roman" w:hAnsi="Times New Roman"/>
          <w:sz w:val="24"/>
          <w:szCs w:val="24"/>
          <w:lang w:val="uk-UA"/>
        </w:rPr>
        <w:t xml:space="preserve"> як розробка проекту регуляторного акт</w:t>
      </w:r>
      <w:r w:rsidR="00D01B29" w:rsidRPr="00D01B29">
        <w:rPr>
          <w:rFonts w:ascii="Times New Roman" w:hAnsi="Times New Roman"/>
          <w:sz w:val="24"/>
          <w:szCs w:val="24"/>
          <w:lang w:val="uk-UA"/>
        </w:rPr>
        <w:t>а</w:t>
      </w:r>
      <w:r w:rsidRPr="00D01B29">
        <w:rPr>
          <w:rFonts w:ascii="Times New Roman" w:hAnsi="Times New Roman"/>
          <w:sz w:val="24"/>
          <w:szCs w:val="24"/>
          <w:lang w:val="uk-UA"/>
        </w:rPr>
        <w:t xml:space="preserve">, підготовка до його прийняття, оприлюднення рішення займаються працівники, посадові обов’язки яких передбачають виконання саме цих функцій. Контроль за виконанням рішення покладено на </w:t>
      </w:r>
      <w:r w:rsidR="00D01B29" w:rsidRPr="00D01B29">
        <w:rPr>
          <w:rFonts w:ascii="Times New Roman" w:hAnsi="Times New Roman"/>
          <w:sz w:val="24"/>
          <w:szCs w:val="24"/>
          <w:lang w:val="uk-UA"/>
        </w:rPr>
        <w:t xml:space="preserve">постійну комісію міської ради з питань бюджету та фінансів, </w:t>
      </w:r>
      <w:r w:rsidRPr="00D01B29">
        <w:rPr>
          <w:rFonts w:ascii="Times New Roman" w:hAnsi="Times New Roman"/>
          <w:sz w:val="24"/>
          <w:szCs w:val="24"/>
          <w:lang w:val="uk-UA"/>
        </w:rPr>
        <w:t>і залучення додаткових штатних одиниць для здійснення цієї роботи не передбачено.</w:t>
      </w:r>
    </w:p>
    <w:p w:rsidR="006471B6" w:rsidRPr="00D01B29" w:rsidRDefault="006471B6" w:rsidP="006471B6">
      <w:pPr>
        <w:pStyle w:val="aa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471B6" w:rsidRPr="00843876" w:rsidRDefault="006471B6" w:rsidP="006471B6">
      <w:pPr>
        <w:pStyle w:val="aa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3876">
        <w:rPr>
          <w:rFonts w:ascii="Times New Roman" w:hAnsi="Times New Roman"/>
          <w:b/>
          <w:sz w:val="28"/>
          <w:szCs w:val="28"/>
          <w:lang w:val="uk-UA"/>
        </w:rPr>
        <w:t>4. Розрахунок сумарних витрат суб’єктів малого підприємництва, що виникають на виконання вимог регулювання</w:t>
      </w:r>
    </w:p>
    <w:p w:rsidR="00D17848" w:rsidRPr="00AA78E0" w:rsidRDefault="00D17848" w:rsidP="006471B6">
      <w:pPr>
        <w:pStyle w:val="aa"/>
        <w:ind w:firstLine="709"/>
        <w:jc w:val="both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tbl>
      <w:tblPr>
        <w:tblW w:w="9674" w:type="dxa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4992"/>
        <w:gridCol w:w="1984"/>
        <w:gridCol w:w="2126"/>
      </w:tblGrid>
      <w:tr w:rsidR="006471B6" w:rsidRPr="00AA78E0" w:rsidTr="00D17848">
        <w:trPr>
          <w:trHeight w:val="88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1B6" w:rsidRPr="00843876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3876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843876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3876">
              <w:rPr>
                <w:rFonts w:ascii="Times New Roman" w:hAnsi="Times New Roman"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843876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3876">
              <w:rPr>
                <w:rFonts w:ascii="Times New Roman" w:hAnsi="Times New Roman"/>
                <w:sz w:val="24"/>
                <w:szCs w:val="24"/>
                <w:lang w:val="uk-UA"/>
              </w:rPr>
              <w:t>Перший рік регулювання (стартовий)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1B6" w:rsidRPr="00843876" w:rsidRDefault="006471B6" w:rsidP="003E0168">
            <w:pPr>
              <w:pStyle w:val="aa"/>
              <w:jc w:val="center"/>
              <w:rPr>
                <w:sz w:val="24"/>
                <w:szCs w:val="24"/>
                <w:lang w:val="uk-UA"/>
              </w:rPr>
            </w:pPr>
            <w:r w:rsidRPr="00843876">
              <w:rPr>
                <w:rFonts w:ascii="Times New Roman" w:hAnsi="Times New Roman"/>
                <w:sz w:val="24"/>
                <w:szCs w:val="24"/>
                <w:lang w:val="uk-UA"/>
              </w:rPr>
              <w:t>За п’ять років</w:t>
            </w:r>
          </w:p>
        </w:tc>
      </w:tr>
      <w:tr w:rsidR="006471B6" w:rsidRPr="00843876" w:rsidTr="00D17848">
        <w:trPr>
          <w:trHeight w:val="61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843876" w:rsidRDefault="006471B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387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1B6" w:rsidRPr="00843876" w:rsidRDefault="006471B6" w:rsidP="00D1784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3876">
              <w:rPr>
                <w:rFonts w:ascii="Times New Roman" w:hAnsi="Times New Roman"/>
                <w:sz w:val="24"/>
                <w:szCs w:val="24"/>
                <w:lang w:val="uk-UA"/>
              </w:rPr>
              <w:t>Оцінка «прямих» витрат суб’єктів малого підприємництва на виконання регулювання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3876" w:rsidRPr="00B32EC4" w:rsidRDefault="00843876" w:rsidP="0084387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2E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27808,50 </w:t>
            </w:r>
          </w:p>
          <w:p w:rsidR="006471B6" w:rsidRPr="00B32EC4" w:rsidRDefault="00843876" w:rsidP="0084387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2EC4">
              <w:rPr>
                <w:rFonts w:ascii="Times New Roman" w:hAnsi="Times New Roman"/>
                <w:sz w:val="24"/>
                <w:szCs w:val="24"/>
                <w:lang w:val="uk-UA"/>
              </w:rPr>
              <w:t>(у випадку реєстрації всіх суб'єктів, як учасників торгів (аукціону), і визначення одного переможця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71B6" w:rsidRPr="00843876" w:rsidRDefault="00843876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AB5E25" w:rsidRPr="000138E6" w:rsidTr="00D17848">
        <w:trPr>
          <w:trHeight w:val="127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E25" w:rsidRPr="000138E6" w:rsidRDefault="00AB5E25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38E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E25" w:rsidRPr="000138E6" w:rsidRDefault="00AB5E25" w:rsidP="00D1784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38E6">
              <w:rPr>
                <w:rFonts w:ascii="Times New Roman" w:hAnsi="Times New Roman"/>
                <w:sz w:val="24"/>
                <w:szCs w:val="24"/>
                <w:lang w:val="uk-UA"/>
              </w:rPr>
              <w:t>Оцінка вартості адміністративних процедур для суб’єктів малого підприємництва щодо виконання регулювання та звітування</w:t>
            </w:r>
          </w:p>
          <w:p w:rsidR="00AB5E25" w:rsidRPr="000138E6" w:rsidRDefault="00AB5E25" w:rsidP="00D1784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38E6">
              <w:rPr>
                <w:rFonts w:ascii="Times New Roman" w:hAnsi="Times New Roman"/>
                <w:sz w:val="24"/>
                <w:szCs w:val="24"/>
                <w:lang w:val="uk-UA"/>
              </w:rPr>
              <w:t>розміщення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E25" w:rsidRPr="00B32EC4" w:rsidRDefault="00AB5E25" w:rsidP="00E0232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2EC4">
              <w:rPr>
                <w:rFonts w:ascii="Times New Roman" w:hAnsi="Times New Roman"/>
                <w:sz w:val="24"/>
                <w:szCs w:val="24"/>
                <w:lang w:val="uk-UA"/>
              </w:rPr>
              <w:t>49064,40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E25" w:rsidRPr="000138E6" w:rsidRDefault="00AB5E25" w:rsidP="003E01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8E6">
              <w:rPr>
                <w:rFonts w:ascii="Times New Roman" w:hAnsi="Times New Roman" w:cs="Times New Roman"/>
                <w:lang w:val="uk-UA"/>
              </w:rPr>
              <w:t>Х</w:t>
            </w:r>
          </w:p>
        </w:tc>
      </w:tr>
      <w:tr w:rsidR="00AB5E25" w:rsidRPr="000138E6" w:rsidTr="000138E6">
        <w:trPr>
          <w:trHeight w:val="68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E25" w:rsidRPr="000138E6" w:rsidRDefault="00AB5E25" w:rsidP="000138E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38E6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E25" w:rsidRPr="000138E6" w:rsidRDefault="00AB5E25" w:rsidP="000138E6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38E6">
              <w:rPr>
                <w:rFonts w:ascii="Times New Roman" w:hAnsi="Times New Roman"/>
                <w:sz w:val="24"/>
                <w:szCs w:val="24"/>
                <w:lang w:val="uk-UA"/>
              </w:rPr>
              <w:t>Сумарні витрати малого підприємництва на виконання запланованого  регулювання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E25" w:rsidRPr="00B32EC4" w:rsidRDefault="00AB5E25" w:rsidP="00013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2E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76872,90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E25" w:rsidRPr="000138E6" w:rsidRDefault="00AB5E25" w:rsidP="00013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</w:tr>
      <w:tr w:rsidR="00AB5E25" w:rsidRPr="000138E6" w:rsidTr="00D17848">
        <w:trPr>
          <w:trHeight w:val="70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E25" w:rsidRPr="000138E6" w:rsidRDefault="00AB5E25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38E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E25" w:rsidRPr="000138E6" w:rsidRDefault="00AB5E25" w:rsidP="00D1784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38E6">
              <w:rPr>
                <w:rFonts w:ascii="Times New Roman" w:hAnsi="Times New Roman"/>
                <w:sz w:val="24"/>
                <w:szCs w:val="24"/>
                <w:lang w:val="uk-UA"/>
              </w:rPr>
              <w:t>Бюджетні витрати  на адміністрування регулювання суб’єктів малого підприємництва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E25" w:rsidRPr="00B32EC4" w:rsidRDefault="00AB5E25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2EC4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E25" w:rsidRPr="000138E6" w:rsidRDefault="00AB5E25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AB5E25" w:rsidRPr="000138E6" w:rsidTr="00AA78E0">
        <w:trPr>
          <w:trHeight w:val="93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E25" w:rsidRPr="000138E6" w:rsidRDefault="00AB5E25" w:rsidP="003E016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38E6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5E25" w:rsidRPr="000138E6" w:rsidRDefault="00AB5E25" w:rsidP="00D17848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38E6">
              <w:rPr>
                <w:rFonts w:ascii="Times New Roman" w:hAnsi="Times New Roman"/>
                <w:sz w:val="24"/>
                <w:szCs w:val="24"/>
                <w:lang w:val="uk-UA"/>
              </w:rPr>
              <w:t>Сумарні витрати на виконання запланованого регулювання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B5E25" w:rsidRPr="00B32EC4" w:rsidRDefault="00AB5E25" w:rsidP="00277B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2E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76872,90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B5E25" w:rsidRPr="000138E6" w:rsidRDefault="00AB5E25" w:rsidP="00277B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</w:tr>
    </w:tbl>
    <w:p w:rsidR="0022206B" w:rsidRDefault="0022206B" w:rsidP="006471B6">
      <w:pPr>
        <w:pStyle w:val="aa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471B6" w:rsidRPr="0022206B" w:rsidRDefault="006471B6" w:rsidP="006471B6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2206B">
        <w:rPr>
          <w:rFonts w:ascii="Times New Roman" w:hAnsi="Times New Roman"/>
          <w:sz w:val="28"/>
          <w:szCs w:val="28"/>
          <w:lang w:val="uk-UA"/>
        </w:rPr>
        <w:t>5. Розроблення коригуючих (пом’якшувальних) заходів для малого підприємництва щодо запропонованого регулювання</w:t>
      </w:r>
      <w:r w:rsidR="0022206B" w:rsidRPr="0022206B">
        <w:rPr>
          <w:rFonts w:ascii="Times New Roman" w:hAnsi="Times New Roman"/>
          <w:sz w:val="28"/>
          <w:szCs w:val="28"/>
          <w:lang w:val="uk-UA"/>
        </w:rPr>
        <w:t xml:space="preserve"> не передбачається, так як запропонований проект регуляторного акта розроблено з метою мінімізації витрат суб</w:t>
      </w:r>
      <w:r w:rsidR="0022206B" w:rsidRPr="0022206B">
        <w:rPr>
          <w:rFonts w:ascii="Times New Roman" w:hAnsi="Times New Roman"/>
          <w:sz w:val="28"/>
          <w:szCs w:val="28"/>
        </w:rPr>
        <w:t>'</w:t>
      </w:r>
      <w:r w:rsidR="0022206B" w:rsidRPr="0022206B">
        <w:rPr>
          <w:rFonts w:ascii="Times New Roman" w:hAnsi="Times New Roman"/>
          <w:sz w:val="28"/>
          <w:szCs w:val="28"/>
          <w:lang w:val="uk-UA"/>
        </w:rPr>
        <w:t xml:space="preserve">єктів господарювання, які планують прийняти участь у конкурсних процедурах з метою отримання торговельного місця для встановлення пункту продажу на території КП МТК "Калинівський ринок".  </w:t>
      </w:r>
    </w:p>
    <w:p w:rsidR="0022206B" w:rsidRPr="00AA78E0" w:rsidRDefault="0022206B" w:rsidP="0024047A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32"/>
          <w:szCs w:val="32"/>
          <w:lang w:val="uk-UA"/>
        </w:rPr>
      </w:pPr>
    </w:p>
    <w:p w:rsidR="006124E3" w:rsidRPr="00B55C84" w:rsidRDefault="006124E3" w:rsidP="0024047A">
      <w:pPr>
        <w:pStyle w:val="3"/>
        <w:spacing w:before="0" w:beforeAutospacing="0" w:after="0" w:afterAutospacing="0"/>
        <w:jc w:val="center"/>
        <w:rPr>
          <w:rFonts w:eastAsia="Times New Roman"/>
          <w:i/>
          <w:sz w:val="28"/>
          <w:szCs w:val="28"/>
          <w:lang w:val="uk-UA"/>
        </w:rPr>
      </w:pPr>
      <w:r w:rsidRPr="00B55C84">
        <w:rPr>
          <w:rFonts w:eastAsia="Times New Roman"/>
          <w:i/>
          <w:sz w:val="28"/>
          <w:szCs w:val="28"/>
          <w:lang w:val="uk-UA"/>
        </w:rPr>
        <w:t>VII. Обґрунтування запропонованого строку дії регуляторного</w:t>
      </w:r>
      <w:r w:rsidR="00821720" w:rsidRPr="00B55C84">
        <w:rPr>
          <w:rFonts w:eastAsia="Times New Roman"/>
          <w:i/>
          <w:sz w:val="28"/>
          <w:szCs w:val="28"/>
          <w:lang w:val="uk-UA"/>
        </w:rPr>
        <w:t xml:space="preserve">                            </w:t>
      </w:r>
      <w:r w:rsidRPr="00B55C84">
        <w:rPr>
          <w:rFonts w:eastAsia="Times New Roman"/>
          <w:i/>
          <w:sz w:val="28"/>
          <w:szCs w:val="28"/>
          <w:lang w:val="uk-UA"/>
        </w:rPr>
        <w:t xml:space="preserve"> акта</w:t>
      </w:r>
    </w:p>
    <w:p w:rsidR="0024047A" w:rsidRPr="00B55C84" w:rsidRDefault="0024047A" w:rsidP="0024047A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16"/>
          <w:szCs w:val="16"/>
          <w:lang w:val="uk-UA"/>
        </w:rPr>
      </w:pPr>
    </w:p>
    <w:p w:rsidR="00406EC5" w:rsidRPr="00B55C84" w:rsidRDefault="00406EC5" w:rsidP="0024047A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55C84">
        <w:rPr>
          <w:rFonts w:ascii="Times New Roman" w:hAnsi="Times New Roman"/>
          <w:sz w:val="28"/>
          <w:szCs w:val="28"/>
          <w:lang w:val="uk-UA"/>
        </w:rPr>
        <w:t>Оскільки потреба у виконанні положень регуляторного акта є постійною, термін його дії встановлено на  необмежений строк.</w:t>
      </w:r>
    </w:p>
    <w:p w:rsidR="0024047A" w:rsidRPr="00AA78E0" w:rsidRDefault="0024047A" w:rsidP="0024047A">
      <w:pPr>
        <w:pStyle w:val="aa"/>
        <w:ind w:firstLine="708"/>
        <w:jc w:val="both"/>
        <w:rPr>
          <w:rFonts w:ascii="Times New Roman" w:hAnsi="Times New Roman"/>
          <w:color w:val="FF0000"/>
          <w:sz w:val="32"/>
          <w:szCs w:val="32"/>
          <w:lang w:val="uk-UA"/>
        </w:rPr>
      </w:pPr>
    </w:p>
    <w:p w:rsidR="006124E3" w:rsidRPr="00924100" w:rsidRDefault="006124E3" w:rsidP="0024047A">
      <w:pPr>
        <w:pStyle w:val="3"/>
        <w:spacing w:before="0" w:beforeAutospacing="0" w:after="0" w:afterAutospacing="0"/>
        <w:jc w:val="center"/>
        <w:rPr>
          <w:rFonts w:eastAsia="Times New Roman"/>
          <w:i/>
          <w:sz w:val="28"/>
          <w:szCs w:val="28"/>
          <w:lang w:val="uk-UA"/>
        </w:rPr>
      </w:pPr>
      <w:r w:rsidRPr="00924100">
        <w:rPr>
          <w:rFonts w:eastAsia="Times New Roman"/>
          <w:i/>
          <w:sz w:val="28"/>
          <w:szCs w:val="28"/>
          <w:lang w:val="uk-UA"/>
        </w:rPr>
        <w:t>VIII. Визначення показників результативності дії регуляторного</w:t>
      </w:r>
      <w:r w:rsidR="00821720" w:rsidRPr="00924100">
        <w:rPr>
          <w:rFonts w:eastAsia="Times New Roman"/>
          <w:i/>
          <w:sz w:val="28"/>
          <w:szCs w:val="28"/>
          <w:lang w:val="uk-UA"/>
        </w:rPr>
        <w:t xml:space="preserve">                    </w:t>
      </w:r>
      <w:r w:rsidRPr="00924100">
        <w:rPr>
          <w:rFonts w:eastAsia="Times New Roman"/>
          <w:i/>
          <w:sz w:val="28"/>
          <w:szCs w:val="28"/>
          <w:lang w:val="uk-UA"/>
        </w:rPr>
        <w:t xml:space="preserve"> акта</w:t>
      </w:r>
    </w:p>
    <w:p w:rsidR="0024047A" w:rsidRPr="00AA78E0" w:rsidRDefault="0024047A" w:rsidP="0024047A">
      <w:pPr>
        <w:pStyle w:val="3"/>
        <w:spacing w:before="0" w:beforeAutospacing="0" w:after="0" w:afterAutospacing="0"/>
        <w:jc w:val="center"/>
        <w:rPr>
          <w:rFonts w:eastAsia="Times New Roman"/>
          <w:b w:val="0"/>
          <w:color w:val="FF0000"/>
          <w:sz w:val="16"/>
          <w:szCs w:val="16"/>
          <w:lang w:val="uk-UA"/>
        </w:rPr>
      </w:pPr>
    </w:p>
    <w:p w:rsidR="00406EC5" w:rsidRPr="00BD4A0C" w:rsidRDefault="00406EC5" w:rsidP="0024047A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924100">
        <w:rPr>
          <w:rFonts w:ascii="Times New Roman" w:hAnsi="Times New Roman"/>
          <w:sz w:val="28"/>
          <w:szCs w:val="28"/>
          <w:lang w:val="uk-UA"/>
        </w:rPr>
        <w:t>Результативність регуляторного акту буде відстежуватися за такими показниками:</w:t>
      </w:r>
    </w:p>
    <w:p w:rsidR="00924100" w:rsidRPr="00924100" w:rsidRDefault="00924100" w:rsidP="0024047A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410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кількість оголошених торгів (аукціонів),</w:t>
      </w:r>
      <w:r w:rsidRPr="0092410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повя</w:t>
      </w:r>
      <w:r w:rsidRPr="00924100">
        <w:rPr>
          <w:rFonts w:ascii="Times New Roman" w:hAnsi="Times New Roman"/>
          <w:sz w:val="28"/>
          <w:szCs w:val="28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>заних з дією акта;</w:t>
      </w:r>
    </w:p>
    <w:p w:rsidR="00924100" w:rsidRDefault="00924100" w:rsidP="0024047A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кількість проведених торгів (аукціонів); </w:t>
      </w:r>
    </w:p>
    <w:p w:rsidR="00924100" w:rsidRDefault="00924100" w:rsidP="0024047A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сума надходжень на банківський рахунок КП МТК "Калинівський ринок" та на рахунок цільового фонду соціально-економічного розвитку міста внаслідок проведення торгів (аукціонів)</w:t>
      </w:r>
      <w:r w:rsidR="00AB5E25">
        <w:rPr>
          <w:rFonts w:ascii="Times New Roman" w:hAnsi="Times New Roman"/>
          <w:sz w:val="28"/>
          <w:szCs w:val="28"/>
          <w:lang w:val="uk-UA"/>
        </w:rPr>
        <w:t>;</w:t>
      </w:r>
    </w:p>
    <w:p w:rsidR="00AB5E25" w:rsidRDefault="00AB5E25" w:rsidP="0024047A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витрати часу на виконання вимог регулювання.</w:t>
      </w:r>
    </w:p>
    <w:p w:rsidR="000808BF" w:rsidRPr="000808BF" w:rsidRDefault="000808BF" w:rsidP="0024047A">
      <w:pPr>
        <w:pStyle w:val="3"/>
        <w:spacing w:before="0" w:beforeAutospacing="0" w:after="0" w:afterAutospacing="0"/>
        <w:jc w:val="center"/>
        <w:rPr>
          <w:rFonts w:eastAsia="Times New Roman"/>
          <w:i/>
          <w:sz w:val="28"/>
          <w:szCs w:val="28"/>
          <w:lang w:val="uk-UA"/>
        </w:rPr>
      </w:pPr>
    </w:p>
    <w:p w:rsidR="006124E3" w:rsidRPr="000808BF" w:rsidRDefault="006124E3" w:rsidP="0024047A">
      <w:pPr>
        <w:pStyle w:val="3"/>
        <w:spacing w:before="0" w:beforeAutospacing="0" w:after="0" w:afterAutospacing="0"/>
        <w:jc w:val="center"/>
        <w:rPr>
          <w:rFonts w:eastAsia="Times New Roman"/>
          <w:i/>
          <w:sz w:val="28"/>
          <w:szCs w:val="28"/>
          <w:lang w:val="uk-UA"/>
        </w:rPr>
      </w:pPr>
      <w:r w:rsidRPr="000808BF">
        <w:rPr>
          <w:rFonts w:eastAsia="Times New Roman"/>
          <w:i/>
          <w:sz w:val="28"/>
          <w:szCs w:val="28"/>
          <w:lang w:val="uk-UA"/>
        </w:rPr>
        <w:t>IX. Визначення заходів, за допомогою яких здійснюватиметься відстеження результативності дії регуляторного акта</w:t>
      </w:r>
    </w:p>
    <w:p w:rsidR="0024047A" w:rsidRPr="00AA78E0" w:rsidRDefault="0024047A" w:rsidP="0024047A">
      <w:pPr>
        <w:pStyle w:val="3"/>
        <w:spacing w:before="0" w:beforeAutospacing="0" w:after="0" w:afterAutospacing="0"/>
        <w:jc w:val="center"/>
        <w:rPr>
          <w:rFonts w:eastAsia="Times New Roman"/>
          <w:b w:val="0"/>
          <w:color w:val="FF0000"/>
          <w:sz w:val="16"/>
          <w:szCs w:val="16"/>
          <w:lang w:val="uk-UA"/>
        </w:rPr>
      </w:pPr>
    </w:p>
    <w:p w:rsidR="00B60EE3" w:rsidRPr="005B7297" w:rsidRDefault="005B7297" w:rsidP="005B7297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B729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Базове відстеження результативності регуляторного </w:t>
      </w:r>
      <w:r w:rsidR="00B0560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акта </w:t>
      </w:r>
      <w:r w:rsidRPr="005B729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буде здійснене </w:t>
      </w:r>
      <w:r w:rsidR="00AB5E2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 </w:t>
      </w:r>
      <w:r w:rsidRPr="005B729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набрання чинності цього регуляторного акта.</w:t>
      </w:r>
    </w:p>
    <w:p w:rsidR="00971316" w:rsidRPr="005B7297" w:rsidRDefault="004E474A" w:rsidP="004E474A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7297">
        <w:rPr>
          <w:rFonts w:ascii="Times New Roman" w:hAnsi="Times New Roman"/>
          <w:sz w:val="28"/>
          <w:szCs w:val="28"/>
          <w:lang w:val="uk-UA"/>
        </w:rPr>
        <w:t xml:space="preserve">Повторне відстеження результативності регуляторного акта буде проведено </w:t>
      </w:r>
      <w:r w:rsidR="00971316" w:rsidRPr="005B7297">
        <w:rPr>
          <w:rFonts w:ascii="Times New Roman" w:hAnsi="Times New Roman"/>
          <w:sz w:val="28"/>
          <w:szCs w:val="28"/>
          <w:lang w:val="uk-UA"/>
        </w:rPr>
        <w:t>через рік після</w:t>
      </w:r>
      <w:r w:rsidR="005B7297" w:rsidRPr="005B72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5E25">
        <w:rPr>
          <w:rFonts w:ascii="Times New Roman" w:hAnsi="Times New Roman"/>
          <w:sz w:val="28"/>
          <w:szCs w:val="28"/>
          <w:lang w:val="uk-UA"/>
        </w:rPr>
        <w:t>прийняття</w:t>
      </w:r>
      <w:r w:rsidR="005B7297" w:rsidRPr="005B72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1316" w:rsidRPr="005B7297">
        <w:rPr>
          <w:rFonts w:ascii="Times New Roman" w:hAnsi="Times New Roman"/>
          <w:sz w:val="28"/>
          <w:szCs w:val="28"/>
          <w:lang w:val="uk-UA"/>
        </w:rPr>
        <w:t>регуляторного акта.</w:t>
      </w:r>
    </w:p>
    <w:p w:rsidR="004E474A" w:rsidRPr="005B7297" w:rsidRDefault="004E474A" w:rsidP="00301BC4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B7297">
        <w:rPr>
          <w:rFonts w:ascii="Times New Roman" w:hAnsi="Times New Roman"/>
          <w:sz w:val="28"/>
          <w:szCs w:val="28"/>
          <w:lang w:val="uk-UA"/>
        </w:rPr>
        <w:lastRenderedPageBreak/>
        <w:t>Періодичне відстеження результативності регуляторного акта буде проводитись раз на кожні три роки, починаючи з дня закінчення заходів з повторного відстеження результативності цього акта шляхом порівняння установлених кількісн</w:t>
      </w:r>
      <w:r w:rsidR="00971316" w:rsidRPr="005B7297">
        <w:rPr>
          <w:rFonts w:ascii="Times New Roman" w:hAnsi="Times New Roman"/>
          <w:sz w:val="28"/>
          <w:szCs w:val="28"/>
          <w:lang w:val="uk-UA"/>
        </w:rPr>
        <w:t>их</w:t>
      </w:r>
      <w:r w:rsidRPr="005B7297">
        <w:rPr>
          <w:rFonts w:ascii="Times New Roman" w:hAnsi="Times New Roman"/>
          <w:sz w:val="28"/>
          <w:szCs w:val="28"/>
          <w:lang w:val="uk-UA"/>
        </w:rPr>
        <w:t xml:space="preserve"> показників результативності акта із значеннями </w:t>
      </w:r>
      <w:r w:rsidRPr="005B7297">
        <w:rPr>
          <w:rFonts w:ascii="Times New Roman" w:hAnsi="Times New Roman"/>
          <w:sz w:val="28"/>
          <w:szCs w:val="28"/>
          <w:lang w:val="uk-UA" w:eastAsia="ru-RU"/>
        </w:rPr>
        <w:t>аналогічних показників, що встановлені під час повторного відстеження.</w:t>
      </w:r>
    </w:p>
    <w:p w:rsidR="00C84D7E" w:rsidRPr="00B0560E" w:rsidRDefault="00595281" w:rsidP="00301B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 w:rsidRPr="005B7297">
        <w:rPr>
          <w:rFonts w:ascii="Times New Roman" w:hAnsi="Times New Roman" w:cs="Times New Roman"/>
          <w:sz w:val="28"/>
          <w:szCs w:val="28"/>
          <w:lang w:val="uk-UA"/>
        </w:rPr>
        <w:t>Зауваження та пропозиції до проекту регуляторного акт</w:t>
      </w:r>
      <w:r w:rsidR="005B7297" w:rsidRPr="005B729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B7297">
        <w:rPr>
          <w:rFonts w:ascii="Times New Roman" w:hAnsi="Times New Roman" w:cs="Times New Roman"/>
          <w:sz w:val="28"/>
          <w:szCs w:val="28"/>
          <w:lang w:val="uk-UA"/>
        </w:rPr>
        <w:t xml:space="preserve"> приймаються в письмовому або в електронному вигляді протягом одного календарного місяця з дня його публікації.</w:t>
      </w:r>
      <w:r w:rsidR="00C84D7E" w:rsidRPr="005B7297">
        <w:rPr>
          <w:rFonts w:ascii="Times New Roman" w:hAnsi="Times New Roman" w:cs="Times New Roman"/>
          <w:sz w:val="28"/>
          <w:szCs w:val="28"/>
          <w:lang w:val="uk-UA"/>
        </w:rPr>
        <w:t xml:space="preserve"> Поштова та електронна адреса розробника проекту регуляторного акт</w:t>
      </w:r>
      <w:r w:rsidR="005B729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84D7E" w:rsidRPr="005B7297">
        <w:rPr>
          <w:rFonts w:ascii="Times New Roman" w:hAnsi="Times New Roman" w:cs="Times New Roman"/>
          <w:sz w:val="28"/>
          <w:szCs w:val="28"/>
          <w:lang w:val="uk-UA"/>
        </w:rPr>
        <w:t xml:space="preserve">, до якого надсилаються зауваження та пропозиції: </w:t>
      </w:r>
      <w:r w:rsidR="00593536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C84D7E" w:rsidRPr="005B7297">
        <w:rPr>
          <w:rFonts w:ascii="Times New Roman" w:hAnsi="Times New Roman" w:cs="Times New Roman"/>
          <w:sz w:val="28"/>
          <w:szCs w:val="28"/>
          <w:lang w:val="uk-UA"/>
        </w:rPr>
        <w:t xml:space="preserve">епартамент </w:t>
      </w:r>
      <w:r w:rsidR="006471B6" w:rsidRPr="005B7297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C84D7E" w:rsidRPr="005B7297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Чернівецької міської ради, вул.О.Кобилянської,3,</w:t>
      </w:r>
      <w:r w:rsidR="00593536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C84D7E" w:rsidRPr="005B7297">
        <w:rPr>
          <w:rFonts w:ascii="Times New Roman" w:hAnsi="Times New Roman" w:cs="Times New Roman"/>
          <w:sz w:val="28"/>
          <w:szCs w:val="28"/>
          <w:lang w:val="uk-UA"/>
        </w:rPr>
        <w:t>.Чернівці, 58000</w:t>
      </w:r>
      <w:r w:rsidR="0059353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84D7E" w:rsidRPr="005B7297">
        <w:rPr>
          <w:rFonts w:ascii="Times New Roman" w:hAnsi="Times New Roman" w:cs="Times New Roman"/>
          <w:sz w:val="28"/>
          <w:szCs w:val="28"/>
          <w:lang w:val="uk-UA"/>
        </w:rPr>
        <w:t xml:space="preserve"> тел.</w:t>
      </w:r>
      <w:r w:rsidR="005935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5852" w:rsidRPr="005B7297">
        <w:rPr>
          <w:rFonts w:ascii="Times New Roman" w:hAnsi="Times New Roman" w:cs="Times New Roman"/>
          <w:sz w:val="28"/>
          <w:szCs w:val="28"/>
          <w:lang w:val="uk-UA"/>
        </w:rPr>
        <w:t>52-</w:t>
      </w:r>
      <w:r w:rsidR="0059353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45852" w:rsidRPr="005B7297">
        <w:rPr>
          <w:rFonts w:ascii="Times New Roman" w:hAnsi="Times New Roman" w:cs="Times New Roman"/>
          <w:sz w:val="28"/>
          <w:szCs w:val="28"/>
          <w:lang w:val="uk-UA"/>
        </w:rPr>
        <w:t>-2</w:t>
      </w:r>
      <w:r w:rsidR="0059353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84D7E" w:rsidRPr="005B72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471B6" w:rsidRPr="005B7297">
        <w:rPr>
          <w:rFonts w:ascii="Times New Roman" w:hAnsi="Times New Roman" w:cs="Times New Roman"/>
          <w:sz w:val="28"/>
          <w:szCs w:val="28"/>
          <w:lang w:val="uk-UA"/>
        </w:rPr>
        <w:t xml:space="preserve"> тел./факс</w:t>
      </w:r>
      <w:r w:rsidR="005935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D7E" w:rsidRPr="005B7297">
        <w:rPr>
          <w:rFonts w:ascii="Times New Roman" w:hAnsi="Times New Roman" w:cs="Times New Roman"/>
          <w:sz w:val="28"/>
          <w:szCs w:val="28"/>
          <w:lang w:val="uk-UA"/>
        </w:rPr>
        <w:t>52-</w:t>
      </w:r>
      <w:r w:rsidR="006471B6" w:rsidRPr="005B729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84D7E" w:rsidRPr="005B7297">
        <w:rPr>
          <w:rFonts w:ascii="Times New Roman" w:hAnsi="Times New Roman" w:cs="Times New Roman"/>
          <w:sz w:val="28"/>
          <w:szCs w:val="28"/>
          <w:lang w:val="uk-UA"/>
        </w:rPr>
        <w:t>6-</w:t>
      </w:r>
      <w:r w:rsidR="006471B6" w:rsidRPr="005B7297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59353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84D7E" w:rsidRPr="005B7297">
        <w:rPr>
          <w:rFonts w:ascii="Times New Roman" w:hAnsi="Times New Roman" w:cs="Times New Roman"/>
          <w:sz w:val="28"/>
          <w:szCs w:val="28"/>
          <w:lang w:val="uk-UA"/>
        </w:rPr>
        <w:t xml:space="preserve"> e-mail</w:t>
      </w:r>
      <w:r w:rsidR="00B0560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935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history="1">
        <w:r w:rsidR="00593536" w:rsidRPr="00B0560E">
          <w:rPr>
            <w:rStyle w:val="a9"/>
            <w:rFonts w:ascii="Times New Roman" w:hAnsi="Times New Roman" w:cs="Times New Roman"/>
            <w:sz w:val="28"/>
            <w:szCs w:val="28"/>
          </w:rPr>
          <w:t>rozvytok</w:t>
        </w:r>
        <w:r w:rsidR="00593536" w:rsidRPr="00B0560E">
          <w:rPr>
            <w:rStyle w:val="a9"/>
            <w:rFonts w:ascii="Times New Roman" w:hAnsi="Times New Roman" w:cs="Times New Roman"/>
            <w:sz w:val="28"/>
            <w:szCs w:val="28"/>
            <w:lang w:val="uk-UA"/>
          </w:rPr>
          <w:t>@</w:t>
        </w:r>
        <w:r w:rsidR="00593536" w:rsidRPr="00B0560E">
          <w:rPr>
            <w:rStyle w:val="a9"/>
            <w:rFonts w:ascii="Times New Roman" w:hAnsi="Times New Roman" w:cs="Times New Roman"/>
            <w:sz w:val="28"/>
            <w:szCs w:val="28"/>
          </w:rPr>
          <w:t>rada</w:t>
        </w:r>
        <w:r w:rsidR="00593536" w:rsidRPr="00B0560E">
          <w:rPr>
            <w:rStyle w:val="a9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593536" w:rsidRPr="00B0560E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cv</w:t>
        </w:r>
        <w:r w:rsidR="00593536" w:rsidRPr="00B0560E">
          <w:rPr>
            <w:rStyle w:val="a9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593536" w:rsidRPr="00B0560E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  <w:r w:rsidR="00C84D7E" w:rsidRPr="00B0560E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.</w:t>
      </w:r>
    </w:p>
    <w:p w:rsidR="00445852" w:rsidRPr="00AA78E0" w:rsidRDefault="00445852" w:rsidP="00235EFC">
      <w:pPr>
        <w:pStyle w:val="aa"/>
        <w:jc w:val="both"/>
        <w:rPr>
          <w:rFonts w:ascii="Times New Roman" w:hAnsi="Times New Roman"/>
          <w:b/>
          <w:color w:val="FF0000"/>
          <w:sz w:val="28"/>
          <w:szCs w:val="28"/>
          <w:lang w:val="uk-UA" w:eastAsia="ru-RU"/>
        </w:rPr>
      </w:pPr>
    </w:p>
    <w:p w:rsidR="00F12B9F" w:rsidRPr="008702AD" w:rsidRDefault="00F12B9F" w:rsidP="00235EFC">
      <w:pPr>
        <w:pStyle w:val="aa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702AD">
        <w:rPr>
          <w:rFonts w:ascii="Times New Roman" w:hAnsi="Times New Roman"/>
          <w:b/>
          <w:sz w:val="28"/>
          <w:szCs w:val="28"/>
          <w:lang w:val="uk-UA" w:eastAsia="ru-RU"/>
        </w:rPr>
        <w:t xml:space="preserve">Директор департаменту </w:t>
      </w:r>
    </w:p>
    <w:p w:rsidR="008E0E5F" w:rsidRDefault="00F12B9F" w:rsidP="00836ACE">
      <w:pPr>
        <w:pStyle w:val="aa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702AD">
        <w:rPr>
          <w:rFonts w:ascii="Times New Roman" w:hAnsi="Times New Roman"/>
          <w:b/>
          <w:sz w:val="28"/>
          <w:szCs w:val="28"/>
          <w:lang w:val="uk-UA" w:eastAsia="ru-RU"/>
        </w:rPr>
        <w:t xml:space="preserve">розвитку міської ради                                     </w:t>
      </w:r>
      <w:r w:rsidR="008702AD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</w:t>
      </w:r>
      <w:r w:rsidRPr="008702AD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</w:t>
      </w:r>
      <w:r w:rsidR="008702AD" w:rsidRPr="008702AD">
        <w:rPr>
          <w:rFonts w:ascii="Times New Roman" w:hAnsi="Times New Roman"/>
          <w:b/>
          <w:sz w:val="28"/>
          <w:szCs w:val="28"/>
          <w:lang w:val="uk-UA" w:eastAsia="ru-RU"/>
        </w:rPr>
        <w:t>В</w:t>
      </w:r>
      <w:r w:rsidRPr="008702AD">
        <w:rPr>
          <w:rFonts w:ascii="Times New Roman" w:hAnsi="Times New Roman"/>
          <w:b/>
          <w:sz w:val="28"/>
          <w:szCs w:val="28"/>
          <w:lang w:val="uk-UA" w:eastAsia="ru-RU"/>
        </w:rPr>
        <w:t xml:space="preserve">. </w:t>
      </w:r>
      <w:r w:rsidR="008702AD" w:rsidRPr="008702AD">
        <w:rPr>
          <w:rFonts w:ascii="Times New Roman" w:hAnsi="Times New Roman"/>
          <w:b/>
          <w:sz w:val="28"/>
          <w:szCs w:val="28"/>
          <w:lang w:val="uk-UA" w:eastAsia="ru-RU"/>
        </w:rPr>
        <w:t>Гавриш</w:t>
      </w:r>
    </w:p>
    <w:sectPr w:rsidR="008E0E5F" w:rsidSect="001465E5">
      <w:headerReference w:type="default" r:id="rId9"/>
      <w:pgSz w:w="11906" w:h="16838" w:code="9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1C3" w:rsidRPr="00785287" w:rsidRDefault="009111C3" w:rsidP="00785287">
      <w:pPr>
        <w:pStyle w:val="a3"/>
        <w:spacing w:before="0" w:after="0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9111C3" w:rsidRPr="00785287" w:rsidRDefault="009111C3" w:rsidP="00785287">
      <w:pPr>
        <w:pStyle w:val="a3"/>
        <w:spacing w:before="0" w:after="0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1C3" w:rsidRPr="00785287" w:rsidRDefault="009111C3" w:rsidP="00785287">
      <w:pPr>
        <w:pStyle w:val="a3"/>
        <w:spacing w:before="0" w:after="0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9111C3" w:rsidRPr="00785287" w:rsidRDefault="009111C3" w:rsidP="00785287">
      <w:pPr>
        <w:pStyle w:val="a3"/>
        <w:spacing w:before="0" w:after="0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09735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86C2C" w:rsidRPr="00785287" w:rsidRDefault="006F420E" w:rsidP="00785287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852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86C2C" w:rsidRPr="0078528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852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09F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852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86C2C" w:rsidRDefault="00886C2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274F3A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color w:val="auto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lang w:val="uk-UA"/>
      </w:rPr>
    </w:lvl>
  </w:abstractNum>
  <w:abstractNum w:abstractNumId="1" w15:restartNumberingAfterBreak="0">
    <w:nsid w:val="3CD45006"/>
    <w:multiLevelType w:val="multilevel"/>
    <w:tmpl w:val="69DA6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01284D"/>
    <w:multiLevelType w:val="multilevel"/>
    <w:tmpl w:val="8CAAC0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D029E9"/>
    <w:multiLevelType w:val="hybridMultilevel"/>
    <w:tmpl w:val="F4448B3E"/>
    <w:lvl w:ilvl="0" w:tplc="2B5CC45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D1A63"/>
    <w:multiLevelType w:val="hybridMultilevel"/>
    <w:tmpl w:val="CA908AA4"/>
    <w:lvl w:ilvl="0" w:tplc="17D482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E745B"/>
    <w:multiLevelType w:val="multilevel"/>
    <w:tmpl w:val="CFD6B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6" w15:restartNumberingAfterBreak="0">
    <w:nsid w:val="56443D5F"/>
    <w:multiLevelType w:val="hybridMultilevel"/>
    <w:tmpl w:val="62CA71F4"/>
    <w:lvl w:ilvl="0" w:tplc="9580F6B6">
      <w:start w:val="85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27553D0"/>
    <w:multiLevelType w:val="hybridMultilevel"/>
    <w:tmpl w:val="6EEE276A"/>
    <w:lvl w:ilvl="0" w:tplc="107A9E9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4E3"/>
    <w:rsid w:val="00001E35"/>
    <w:rsid w:val="00001E42"/>
    <w:rsid w:val="000032B2"/>
    <w:rsid w:val="00005176"/>
    <w:rsid w:val="00005E83"/>
    <w:rsid w:val="00007DA2"/>
    <w:rsid w:val="00012BA8"/>
    <w:rsid w:val="00013063"/>
    <w:rsid w:val="000138E6"/>
    <w:rsid w:val="00014C58"/>
    <w:rsid w:val="00014DF2"/>
    <w:rsid w:val="00015B1B"/>
    <w:rsid w:val="000178BA"/>
    <w:rsid w:val="00025868"/>
    <w:rsid w:val="00027D9C"/>
    <w:rsid w:val="000357F1"/>
    <w:rsid w:val="00035DD8"/>
    <w:rsid w:val="00042203"/>
    <w:rsid w:val="00044766"/>
    <w:rsid w:val="0004648D"/>
    <w:rsid w:val="00047532"/>
    <w:rsid w:val="00051517"/>
    <w:rsid w:val="00052806"/>
    <w:rsid w:val="00061C64"/>
    <w:rsid w:val="00066AF4"/>
    <w:rsid w:val="00075E08"/>
    <w:rsid w:val="000767EB"/>
    <w:rsid w:val="00076D98"/>
    <w:rsid w:val="000808BF"/>
    <w:rsid w:val="00081BD2"/>
    <w:rsid w:val="00082344"/>
    <w:rsid w:val="00083366"/>
    <w:rsid w:val="0009385D"/>
    <w:rsid w:val="000A38FC"/>
    <w:rsid w:val="000B23C5"/>
    <w:rsid w:val="000B30DF"/>
    <w:rsid w:val="000B4BB4"/>
    <w:rsid w:val="000B6822"/>
    <w:rsid w:val="000B7182"/>
    <w:rsid w:val="000C1C1C"/>
    <w:rsid w:val="000D4751"/>
    <w:rsid w:val="000E0B50"/>
    <w:rsid w:val="000E15C7"/>
    <w:rsid w:val="000E1A67"/>
    <w:rsid w:val="000E4E91"/>
    <w:rsid w:val="000E5035"/>
    <w:rsid w:val="000E5711"/>
    <w:rsid w:val="000E574A"/>
    <w:rsid w:val="000F02D0"/>
    <w:rsid w:val="000F062C"/>
    <w:rsid w:val="000F16FC"/>
    <w:rsid w:val="00100FC8"/>
    <w:rsid w:val="00111A92"/>
    <w:rsid w:val="00111E65"/>
    <w:rsid w:val="00112DBA"/>
    <w:rsid w:val="00116A37"/>
    <w:rsid w:val="0012102F"/>
    <w:rsid w:val="00123424"/>
    <w:rsid w:val="00123D57"/>
    <w:rsid w:val="00127DAE"/>
    <w:rsid w:val="00134F1B"/>
    <w:rsid w:val="00143517"/>
    <w:rsid w:val="00144745"/>
    <w:rsid w:val="001465E5"/>
    <w:rsid w:val="0015074C"/>
    <w:rsid w:val="001554A6"/>
    <w:rsid w:val="00157A41"/>
    <w:rsid w:val="001600DB"/>
    <w:rsid w:val="00163C01"/>
    <w:rsid w:val="00165239"/>
    <w:rsid w:val="001665D5"/>
    <w:rsid w:val="0017136F"/>
    <w:rsid w:val="001964DE"/>
    <w:rsid w:val="00197D38"/>
    <w:rsid w:val="001A0CD4"/>
    <w:rsid w:val="001B0737"/>
    <w:rsid w:val="001C3D5F"/>
    <w:rsid w:val="001D21B2"/>
    <w:rsid w:val="001E3559"/>
    <w:rsid w:val="001E5965"/>
    <w:rsid w:val="001F1CF7"/>
    <w:rsid w:val="001F7377"/>
    <w:rsid w:val="00200AA8"/>
    <w:rsid w:val="00204DA1"/>
    <w:rsid w:val="00212CD5"/>
    <w:rsid w:val="00214079"/>
    <w:rsid w:val="00215971"/>
    <w:rsid w:val="00215F60"/>
    <w:rsid w:val="00217124"/>
    <w:rsid w:val="00217744"/>
    <w:rsid w:val="00217878"/>
    <w:rsid w:val="00221B48"/>
    <w:rsid w:val="00221DF7"/>
    <w:rsid w:val="0022206B"/>
    <w:rsid w:val="00225F20"/>
    <w:rsid w:val="00231CAC"/>
    <w:rsid w:val="0023498F"/>
    <w:rsid w:val="00235208"/>
    <w:rsid w:val="00235EFC"/>
    <w:rsid w:val="00240366"/>
    <w:rsid w:val="0024047A"/>
    <w:rsid w:val="002421B2"/>
    <w:rsid w:val="00244CC6"/>
    <w:rsid w:val="00245E38"/>
    <w:rsid w:val="0025292C"/>
    <w:rsid w:val="00255BA6"/>
    <w:rsid w:val="002674FC"/>
    <w:rsid w:val="00271425"/>
    <w:rsid w:val="00272613"/>
    <w:rsid w:val="00274E64"/>
    <w:rsid w:val="00277BA1"/>
    <w:rsid w:val="002828E1"/>
    <w:rsid w:val="00286965"/>
    <w:rsid w:val="00286C42"/>
    <w:rsid w:val="00290B19"/>
    <w:rsid w:val="0029389E"/>
    <w:rsid w:val="002A492B"/>
    <w:rsid w:val="002B017D"/>
    <w:rsid w:val="002B2B71"/>
    <w:rsid w:val="002B3AE8"/>
    <w:rsid w:val="002B56F0"/>
    <w:rsid w:val="002C4E96"/>
    <w:rsid w:val="002C65E3"/>
    <w:rsid w:val="002D24DB"/>
    <w:rsid w:val="002D3D9B"/>
    <w:rsid w:val="002D434A"/>
    <w:rsid w:val="002D4623"/>
    <w:rsid w:val="002D5750"/>
    <w:rsid w:val="002E035C"/>
    <w:rsid w:val="002E052D"/>
    <w:rsid w:val="002E1378"/>
    <w:rsid w:val="002E24A9"/>
    <w:rsid w:val="002E6708"/>
    <w:rsid w:val="002E6E28"/>
    <w:rsid w:val="002F0F3A"/>
    <w:rsid w:val="002F12CC"/>
    <w:rsid w:val="002F26C3"/>
    <w:rsid w:val="00301BC4"/>
    <w:rsid w:val="00307C9C"/>
    <w:rsid w:val="00316724"/>
    <w:rsid w:val="003225BD"/>
    <w:rsid w:val="003269C0"/>
    <w:rsid w:val="00326BB1"/>
    <w:rsid w:val="00327057"/>
    <w:rsid w:val="00331BC8"/>
    <w:rsid w:val="00340693"/>
    <w:rsid w:val="00343D80"/>
    <w:rsid w:val="00354ACF"/>
    <w:rsid w:val="0036106E"/>
    <w:rsid w:val="003664D4"/>
    <w:rsid w:val="00367C12"/>
    <w:rsid w:val="00372B97"/>
    <w:rsid w:val="00385528"/>
    <w:rsid w:val="00393785"/>
    <w:rsid w:val="00394E5A"/>
    <w:rsid w:val="00396462"/>
    <w:rsid w:val="003A324F"/>
    <w:rsid w:val="003A3A68"/>
    <w:rsid w:val="003A7AD1"/>
    <w:rsid w:val="003A7E63"/>
    <w:rsid w:val="003B1281"/>
    <w:rsid w:val="003B2DFC"/>
    <w:rsid w:val="003B7949"/>
    <w:rsid w:val="003C0915"/>
    <w:rsid w:val="003D0A37"/>
    <w:rsid w:val="003D4764"/>
    <w:rsid w:val="003E0168"/>
    <w:rsid w:val="003E0517"/>
    <w:rsid w:val="003E4285"/>
    <w:rsid w:val="003E4ED4"/>
    <w:rsid w:val="003E5C41"/>
    <w:rsid w:val="003F09F9"/>
    <w:rsid w:val="003F1634"/>
    <w:rsid w:val="003F6D5E"/>
    <w:rsid w:val="003F7646"/>
    <w:rsid w:val="0040490C"/>
    <w:rsid w:val="00406EC5"/>
    <w:rsid w:val="00407ACD"/>
    <w:rsid w:val="004219B2"/>
    <w:rsid w:val="00421FD3"/>
    <w:rsid w:val="00426766"/>
    <w:rsid w:val="00430C9E"/>
    <w:rsid w:val="00431337"/>
    <w:rsid w:val="00431549"/>
    <w:rsid w:val="004360CC"/>
    <w:rsid w:val="00436BDD"/>
    <w:rsid w:val="0044141B"/>
    <w:rsid w:val="004416F7"/>
    <w:rsid w:val="00445852"/>
    <w:rsid w:val="00446C45"/>
    <w:rsid w:val="004474CD"/>
    <w:rsid w:val="0045332A"/>
    <w:rsid w:val="004540B8"/>
    <w:rsid w:val="004638EF"/>
    <w:rsid w:val="00465030"/>
    <w:rsid w:val="00465860"/>
    <w:rsid w:val="00467B3B"/>
    <w:rsid w:val="004733A2"/>
    <w:rsid w:val="0047755D"/>
    <w:rsid w:val="004856F4"/>
    <w:rsid w:val="00486D4A"/>
    <w:rsid w:val="004969F7"/>
    <w:rsid w:val="004A038C"/>
    <w:rsid w:val="004A22FB"/>
    <w:rsid w:val="004A355C"/>
    <w:rsid w:val="004A545C"/>
    <w:rsid w:val="004A6A6A"/>
    <w:rsid w:val="004B5988"/>
    <w:rsid w:val="004B605E"/>
    <w:rsid w:val="004C23E9"/>
    <w:rsid w:val="004C4C45"/>
    <w:rsid w:val="004D1217"/>
    <w:rsid w:val="004D35E6"/>
    <w:rsid w:val="004E0C24"/>
    <w:rsid w:val="004E2149"/>
    <w:rsid w:val="004E38F1"/>
    <w:rsid w:val="004E474A"/>
    <w:rsid w:val="004E6649"/>
    <w:rsid w:val="004F09FD"/>
    <w:rsid w:val="00501649"/>
    <w:rsid w:val="00506790"/>
    <w:rsid w:val="00506E1A"/>
    <w:rsid w:val="00517C8E"/>
    <w:rsid w:val="005200F8"/>
    <w:rsid w:val="0052088B"/>
    <w:rsid w:val="0052796D"/>
    <w:rsid w:val="00532F96"/>
    <w:rsid w:val="005351E2"/>
    <w:rsid w:val="00537878"/>
    <w:rsid w:val="00537C43"/>
    <w:rsid w:val="00543D02"/>
    <w:rsid w:val="00557604"/>
    <w:rsid w:val="005577D4"/>
    <w:rsid w:val="0056021D"/>
    <w:rsid w:val="00564A2B"/>
    <w:rsid w:val="00570EDE"/>
    <w:rsid w:val="00580096"/>
    <w:rsid w:val="00581FAC"/>
    <w:rsid w:val="0058251E"/>
    <w:rsid w:val="00593536"/>
    <w:rsid w:val="00593A36"/>
    <w:rsid w:val="00595281"/>
    <w:rsid w:val="00595D06"/>
    <w:rsid w:val="0059667E"/>
    <w:rsid w:val="005A3756"/>
    <w:rsid w:val="005A64E2"/>
    <w:rsid w:val="005A793A"/>
    <w:rsid w:val="005B03E1"/>
    <w:rsid w:val="005B1BBB"/>
    <w:rsid w:val="005B6BE8"/>
    <w:rsid w:val="005B7297"/>
    <w:rsid w:val="005C2D41"/>
    <w:rsid w:val="005D0B37"/>
    <w:rsid w:val="005D3769"/>
    <w:rsid w:val="005D38A5"/>
    <w:rsid w:val="005D3B16"/>
    <w:rsid w:val="005D423F"/>
    <w:rsid w:val="005D4308"/>
    <w:rsid w:val="005D5417"/>
    <w:rsid w:val="005D7B51"/>
    <w:rsid w:val="005E2DA4"/>
    <w:rsid w:val="005E2F6C"/>
    <w:rsid w:val="005E4114"/>
    <w:rsid w:val="005F0ECB"/>
    <w:rsid w:val="005F3E6F"/>
    <w:rsid w:val="00605495"/>
    <w:rsid w:val="00605C5C"/>
    <w:rsid w:val="00606434"/>
    <w:rsid w:val="0060776C"/>
    <w:rsid w:val="006111E1"/>
    <w:rsid w:val="00611F12"/>
    <w:rsid w:val="006124E3"/>
    <w:rsid w:val="00616080"/>
    <w:rsid w:val="006175FD"/>
    <w:rsid w:val="006208EF"/>
    <w:rsid w:val="00622C47"/>
    <w:rsid w:val="00623435"/>
    <w:rsid w:val="0062508B"/>
    <w:rsid w:val="00625DF7"/>
    <w:rsid w:val="00625FE3"/>
    <w:rsid w:val="006268CA"/>
    <w:rsid w:val="00634BD4"/>
    <w:rsid w:val="00634CA5"/>
    <w:rsid w:val="0063708E"/>
    <w:rsid w:val="00641BFA"/>
    <w:rsid w:val="0064305F"/>
    <w:rsid w:val="006471B6"/>
    <w:rsid w:val="00651353"/>
    <w:rsid w:val="00661EE2"/>
    <w:rsid w:val="00666898"/>
    <w:rsid w:val="00670FD1"/>
    <w:rsid w:val="00681715"/>
    <w:rsid w:val="0069117A"/>
    <w:rsid w:val="00693F50"/>
    <w:rsid w:val="006978CF"/>
    <w:rsid w:val="006A3040"/>
    <w:rsid w:val="006B1718"/>
    <w:rsid w:val="006B433B"/>
    <w:rsid w:val="006B4F43"/>
    <w:rsid w:val="006C0649"/>
    <w:rsid w:val="006C1823"/>
    <w:rsid w:val="006C3175"/>
    <w:rsid w:val="006C38A1"/>
    <w:rsid w:val="006C39E4"/>
    <w:rsid w:val="006D7FD7"/>
    <w:rsid w:val="006E2260"/>
    <w:rsid w:val="006E24CA"/>
    <w:rsid w:val="006E6144"/>
    <w:rsid w:val="006F01D7"/>
    <w:rsid w:val="006F0F19"/>
    <w:rsid w:val="006F420E"/>
    <w:rsid w:val="007033FC"/>
    <w:rsid w:val="007067B8"/>
    <w:rsid w:val="007144FB"/>
    <w:rsid w:val="00717DF0"/>
    <w:rsid w:val="00723F94"/>
    <w:rsid w:val="00732029"/>
    <w:rsid w:val="0073238F"/>
    <w:rsid w:val="00732A5C"/>
    <w:rsid w:val="00737CBE"/>
    <w:rsid w:val="00752EBF"/>
    <w:rsid w:val="007542FF"/>
    <w:rsid w:val="00757EFC"/>
    <w:rsid w:val="00761EE0"/>
    <w:rsid w:val="00763A94"/>
    <w:rsid w:val="00764A9C"/>
    <w:rsid w:val="007673B9"/>
    <w:rsid w:val="007700AD"/>
    <w:rsid w:val="00774E1F"/>
    <w:rsid w:val="00785287"/>
    <w:rsid w:val="00793C10"/>
    <w:rsid w:val="00794EAD"/>
    <w:rsid w:val="00797361"/>
    <w:rsid w:val="00797F62"/>
    <w:rsid w:val="007A2F17"/>
    <w:rsid w:val="007A38B3"/>
    <w:rsid w:val="007A41F0"/>
    <w:rsid w:val="007A60EF"/>
    <w:rsid w:val="007B3804"/>
    <w:rsid w:val="007C44E7"/>
    <w:rsid w:val="007D6814"/>
    <w:rsid w:val="007D7A5A"/>
    <w:rsid w:val="007E048E"/>
    <w:rsid w:val="007E41C1"/>
    <w:rsid w:val="007F27BC"/>
    <w:rsid w:val="007F46EB"/>
    <w:rsid w:val="007F6C5E"/>
    <w:rsid w:val="007F7D6E"/>
    <w:rsid w:val="0080255A"/>
    <w:rsid w:val="0081002E"/>
    <w:rsid w:val="00821720"/>
    <w:rsid w:val="00831D7B"/>
    <w:rsid w:val="00836ACE"/>
    <w:rsid w:val="0084099C"/>
    <w:rsid w:val="00843876"/>
    <w:rsid w:val="00846994"/>
    <w:rsid w:val="0085021A"/>
    <w:rsid w:val="00862625"/>
    <w:rsid w:val="0086326A"/>
    <w:rsid w:val="0086435C"/>
    <w:rsid w:val="00866E38"/>
    <w:rsid w:val="00870002"/>
    <w:rsid w:val="008702AD"/>
    <w:rsid w:val="00870EA4"/>
    <w:rsid w:val="00877B5A"/>
    <w:rsid w:val="00886C2C"/>
    <w:rsid w:val="00886E6B"/>
    <w:rsid w:val="0089047F"/>
    <w:rsid w:val="00894905"/>
    <w:rsid w:val="00895C05"/>
    <w:rsid w:val="00897EE0"/>
    <w:rsid w:val="008A3B77"/>
    <w:rsid w:val="008A440C"/>
    <w:rsid w:val="008A5D3B"/>
    <w:rsid w:val="008B1814"/>
    <w:rsid w:val="008B4D20"/>
    <w:rsid w:val="008B5CA0"/>
    <w:rsid w:val="008B7A52"/>
    <w:rsid w:val="008C446C"/>
    <w:rsid w:val="008D163B"/>
    <w:rsid w:val="008D66AF"/>
    <w:rsid w:val="008E0E5F"/>
    <w:rsid w:val="008F34A4"/>
    <w:rsid w:val="009027DF"/>
    <w:rsid w:val="009111C3"/>
    <w:rsid w:val="00913B1B"/>
    <w:rsid w:val="00916BB7"/>
    <w:rsid w:val="00917BC3"/>
    <w:rsid w:val="00923D2D"/>
    <w:rsid w:val="00924100"/>
    <w:rsid w:val="0092609C"/>
    <w:rsid w:val="00926EF7"/>
    <w:rsid w:val="00932C65"/>
    <w:rsid w:val="00932E9D"/>
    <w:rsid w:val="00934EFC"/>
    <w:rsid w:val="0093574A"/>
    <w:rsid w:val="00941BDA"/>
    <w:rsid w:val="009433CE"/>
    <w:rsid w:val="00951643"/>
    <w:rsid w:val="00952373"/>
    <w:rsid w:val="00960C27"/>
    <w:rsid w:val="0096114F"/>
    <w:rsid w:val="0096471C"/>
    <w:rsid w:val="00964933"/>
    <w:rsid w:val="00970DEB"/>
    <w:rsid w:val="00971316"/>
    <w:rsid w:val="00974E29"/>
    <w:rsid w:val="00985147"/>
    <w:rsid w:val="009956BD"/>
    <w:rsid w:val="009961C9"/>
    <w:rsid w:val="009968B9"/>
    <w:rsid w:val="009A07BF"/>
    <w:rsid w:val="009A2232"/>
    <w:rsid w:val="009A43E7"/>
    <w:rsid w:val="009B0C81"/>
    <w:rsid w:val="009B1B3A"/>
    <w:rsid w:val="009C0EDD"/>
    <w:rsid w:val="009C4172"/>
    <w:rsid w:val="009D2DE3"/>
    <w:rsid w:val="009E1D92"/>
    <w:rsid w:val="009E71A5"/>
    <w:rsid w:val="009F012B"/>
    <w:rsid w:val="009F2699"/>
    <w:rsid w:val="009F6142"/>
    <w:rsid w:val="00A05468"/>
    <w:rsid w:val="00A06E38"/>
    <w:rsid w:val="00A071A8"/>
    <w:rsid w:val="00A10D0F"/>
    <w:rsid w:val="00A116B2"/>
    <w:rsid w:val="00A13625"/>
    <w:rsid w:val="00A13E26"/>
    <w:rsid w:val="00A148E5"/>
    <w:rsid w:val="00A174FC"/>
    <w:rsid w:val="00A22C97"/>
    <w:rsid w:val="00A2553D"/>
    <w:rsid w:val="00A25BBB"/>
    <w:rsid w:val="00A318E2"/>
    <w:rsid w:val="00A3373D"/>
    <w:rsid w:val="00A409CC"/>
    <w:rsid w:val="00A45234"/>
    <w:rsid w:val="00A50873"/>
    <w:rsid w:val="00A5347F"/>
    <w:rsid w:val="00A63658"/>
    <w:rsid w:val="00A66216"/>
    <w:rsid w:val="00A719EE"/>
    <w:rsid w:val="00A75A3E"/>
    <w:rsid w:val="00A761A2"/>
    <w:rsid w:val="00A779B7"/>
    <w:rsid w:val="00A77E6B"/>
    <w:rsid w:val="00A84F72"/>
    <w:rsid w:val="00A8773E"/>
    <w:rsid w:val="00A918E3"/>
    <w:rsid w:val="00A9306E"/>
    <w:rsid w:val="00A9716D"/>
    <w:rsid w:val="00AA17C9"/>
    <w:rsid w:val="00AA56EA"/>
    <w:rsid w:val="00AA6797"/>
    <w:rsid w:val="00AA6F87"/>
    <w:rsid w:val="00AA78E0"/>
    <w:rsid w:val="00AB5E25"/>
    <w:rsid w:val="00AB61D9"/>
    <w:rsid w:val="00AC74AF"/>
    <w:rsid w:val="00AE00E7"/>
    <w:rsid w:val="00AE2FD5"/>
    <w:rsid w:val="00AE3AC9"/>
    <w:rsid w:val="00AE4B25"/>
    <w:rsid w:val="00AE55AE"/>
    <w:rsid w:val="00AE67BF"/>
    <w:rsid w:val="00AE7C48"/>
    <w:rsid w:val="00AF016A"/>
    <w:rsid w:val="00AF018D"/>
    <w:rsid w:val="00AF0CFB"/>
    <w:rsid w:val="00AF5128"/>
    <w:rsid w:val="00AF6F2A"/>
    <w:rsid w:val="00B00E51"/>
    <w:rsid w:val="00B0477F"/>
    <w:rsid w:val="00B0533F"/>
    <w:rsid w:val="00B0560E"/>
    <w:rsid w:val="00B073E6"/>
    <w:rsid w:val="00B1097C"/>
    <w:rsid w:val="00B10F66"/>
    <w:rsid w:val="00B15D66"/>
    <w:rsid w:val="00B23A14"/>
    <w:rsid w:val="00B23C56"/>
    <w:rsid w:val="00B305BF"/>
    <w:rsid w:val="00B32EC4"/>
    <w:rsid w:val="00B34A9D"/>
    <w:rsid w:val="00B35C33"/>
    <w:rsid w:val="00B3698B"/>
    <w:rsid w:val="00B40075"/>
    <w:rsid w:val="00B40B64"/>
    <w:rsid w:val="00B43897"/>
    <w:rsid w:val="00B456DA"/>
    <w:rsid w:val="00B504D8"/>
    <w:rsid w:val="00B55C84"/>
    <w:rsid w:val="00B562AE"/>
    <w:rsid w:val="00B609E9"/>
    <w:rsid w:val="00B60EE3"/>
    <w:rsid w:val="00B616F0"/>
    <w:rsid w:val="00B63EB8"/>
    <w:rsid w:val="00B64550"/>
    <w:rsid w:val="00B64BF0"/>
    <w:rsid w:val="00B6584E"/>
    <w:rsid w:val="00B72C7B"/>
    <w:rsid w:val="00B7350F"/>
    <w:rsid w:val="00B746F0"/>
    <w:rsid w:val="00B748C3"/>
    <w:rsid w:val="00B74F21"/>
    <w:rsid w:val="00B763B4"/>
    <w:rsid w:val="00B820CE"/>
    <w:rsid w:val="00B829BC"/>
    <w:rsid w:val="00B860D8"/>
    <w:rsid w:val="00B8670C"/>
    <w:rsid w:val="00B91F85"/>
    <w:rsid w:val="00B95A05"/>
    <w:rsid w:val="00B96FB1"/>
    <w:rsid w:val="00B97E35"/>
    <w:rsid w:val="00BA60C0"/>
    <w:rsid w:val="00BA7C5C"/>
    <w:rsid w:val="00BB09D5"/>
    <w:rsid w:val="00BB25A5"/>
    <w:rsid w:val="00BB4155"/>
    <w:rsid w:val="00BB74D7"/>
    <w:rsid w:val="00BC78CA"/>
    <w:rsid w:val="00BD4A0C"/>
    <w:rsid w:val="00BD4AED"/>
    <w:rsid w:val="00BE28D4"/>
    <w:rsid w:val="00BE4508"/>
    <w:rsid w:val="00BE7C14"/>
    <w:rsid w:val="00BF0836"/>
    <w:rsid w:val="00BF1656"/>
    <w:rsid w:val="00BF20F6"/>
    <w:rsid w:val="00BF4AD8"/>
    <w:rsid w:val="00C04ABD"/>
    <w:rsid w:val="00C04BD7"/>
    <w:rsid w:val="00C110C4"/>
    <w:rsid w:val="00C11B84"/>
    <w:rsid w:val="00C120F7"/>
    <w:rsid w:val="00C12F1C"/>
    <w:rsid w:val="00C13AB0"/>
    <w:rsid w:val="00C148C7"/>
    <w:rsid w:val="00C25C2E"/>
    <w:rsid w:val="00C25F8D"/>
    <w:rsid w:val="00C274F7"/>
    <w:rsid w:val="00C36433"/>
    <w:rsid w:val="00C42323"/>
    <w:rsid w:val="00C4398B"/>
    <w:rsid w:val="00C45FBE"/>
    <w:rsid w:val="00C46611"/>
    <w:rsid w:val="00C5122D"/>
    <w:rsid w:val="00C514C9"/>
    <w:rsid w:val="00C56252"/>
    <w:rsid w:val="00C64F6B"/>
    <w:rsid w:val="00C67C59"/>
    <w:rsid w:val="00C71D07"/>
    <w:rsid w:val="00C75C5F"/>
    <w:rsid w:val="00C81759"/>
    <w:rsid w:val="00C82F14"/>
    <w:rsid w:val="00C83139"/>
    <w:rsid w:val="00C84C42"/>
    <w:rsid w:val="00C84CF2"/>
    <w:rsid w:val="00C84D7E"/>
    <w:rsid w:val="00C85352"/>
    <w:rsid w:val="00C855F5"/>
    <w:rsid w:val="00C85EA3"/>
    <w:rsid w:val="00C86A9B"/>
    <w:rsid w:val="00C944C1"/>
    <w:rsid w:val="00CB0FC4"/>
    <w:rsid w:val="00CB3132"/>
    <w:rsid w:val="00CB7EF1"/>
    <w:rsid w:val="00CC2BBF"/>
    <w:rsid w:val="00CC3817"/>
    <w:rsid w:val="00CD14DD"/>
    <w:rsid w:val="00CD1715"/>
    <w:rsid w:val="00CD1897"/>
    <w:rsid w:val="00CD19F7"/>
    <w:rsid w:val="00CD1A9D"/>
    <w:rsid w:val="00CD60CB"/>
    <w:rsid w:val="00CD64FE"/>
    <w:rsid w:val="00CE5968"/>
    <w:rsid w:val="00CF20B5"/>
    <w:rsid w:val="00CF2673"/>
    <w:rsid w:val="00CF503B"/>
    <w:rsid w:val="00D01B29"/>
    <w:rsid w:val="00D038D8"/>
    <w:rsid w:val="00D0428B"/>
    <w:rsid w:val="00D06F97"/>
    <w:rsid w:val="00D12ABC"/>
    <w:rsid w:val="00D145E4"/>
    <w:rsid w:val="00D15EC8"/>
    <w:rsid w:val="00D17848"/>
    <w:rsid w:val="00D22DE7"/>
    <w:rsid w:val="00D265CF"/>
    <w:rsid w:val="00D34D6C"/>
    <w:rsid w:val="00D3534B"/>
    <w:rsid w:val="00D35F98"/>
    <w:rsid w:val="00D3697C"/>
    <w:rsid w:val="00D37A03"/>
    <w:rsid w:val="00D41BE4"/>
    <w:rsid w:val="00D4246F"/>
    <w:rsid w:val="00D43CD4"/>
    <w:rsid w:val="00D44C4E"/>
    <w:rsid w:val="00D46F67"/>
    <w:rsid w:val="00D479B7"/>
    <w:rsid w:val="00D53123"/>
    <w:rsid w:val="00D547ED"/>
    <w:rsid w:val="00D5588B"/>
    <w:rsid w:val="00D62F9B"/>
    <w:rsid w:val="00D63717"/>
    <w:rsid w:val="00D6554F"/>
    <w:rsid w:val="00D677FC"/>
    <w:rsid w:val="00D8003F"/>
    <w:rsid w:val="00D9088B"/>
    <w:rsid w:val="00D910AF"/>
    <w:rsid w:val="00DA2BB9"/>
    <w:rsid w:val="00DA4B47"/>
    <w:rsid w:val="00DA65F0"/>
    <w:rsid w:val="00DB3578"/>
    <w:rsid w:val="00DB6093"/>
    <w:rsid w:val="00DC0DCD"/>
    <w:rsid w:val="00DC2683"/>
    <w:rsid w:val="00DC66EF"/>
    <w:rsid w:val="00DC7601"/>
    <w:rsid w:val="00DE4DA6"/>
    <w:rsid w:val="00DE650B"/>
    <w:rsid w:val="00DF48E3"/>
    <w:rsid w:val="00DF74AB"/>
    <w:rsid w:val="00E020F5"/>
    <w:rsid w:val="00E0232B"/>
    <w:rsid w:val="00E05901"/>
    <w:rsid w:val="00E0601D"/>
    <w:rsid w:val="00E07599"/>
    <w:rsid w:val="00E16F61"/>
    <w:rsid w:val="00E246A2"/>
    <w:rsid w:val="00E263E2"/>
    <w:rsid w:val="00E31319"/>
    <w:rsid w:val="00E32BB0"/>
    <w:rsid w:val="00E34A83"/>
    <w:rsid w:val="00E408AF"/>
    <w:rsid w:val="00E4134C"/>
    <w:rsid w:val="00E43875"/>
    <w:rsid w:val="00E4442C"/>
    <w:rsid w:val="00E667A5"/>
    <w:rsid w:val="00E67996"/>
    <w:rsid w:val="00E7025E"/>
    <w:rsid w:val="00E727A9"/>
    <w:rsid w:val="00E72C1D"/>
    <w:rsid w:val="00E801E5"/>
    <w:rsid w:val="00E81110"/>
    <w:rsid w:val="00E82C3C"/>
    <w:rsid w:val="00E82E63"/>
    <w:rsid w:val="00E85C20"/>
    <w:rsid w:val="00E86016"/>
    <w:rsid w:val="00E93ACE"/>
    <w:rsid w:val="00EA47D5"/>
    <w:rsid w:val="00EB0A90"/>
    <w:rsid w:val="00EC3BAF"/>
    <w:rsid w:val="00EC6552"/>
    <w:rsid w:val="00EC755C"/>
    <w:rsid w:val="00ED49BC"/>
    <w:rsid w:val="00EE2ACD"/>
    <w:rsid w:val="00EE7F98"/>
    <w:rsid w:val="00EF1FA1"/>
    <w:rsid w:val="00EF4FDE"/>
    <w:rsid w:val="00EF526E"/>
    <w:rsid w:val="00EF55E4"/>
    <w:rsid w:val="00EF75F4"/>
    <w:rsid w:val="00EF7F5E"/>
    <w:rsid w:val="00F005BA"/>
    <w:rsid w:val="00F036F6"/>
    <w:rsid w:val="00F06651"/>
    <w:rsid w:val="00F12B9F"/>
    <w:rsid w:val="00F13DAA"/>
    <w:rsid w:val="00F13F6B"/>
    <w:rsid w:val="00F14DB9"/>
    <w:rsid w:val="00F15730"/>
    <w:rsid w:val="00F34C2D"/>
    <w:rsid w:val="00F34E79"/>
    <w:rsid w:val="00F36287"/>
    <w:rsid w:val="00F420D2"/>
    <w:rsid w:val="00F421A4"/>
    <w:rsid w:val="00F43A1E"/>
    <w:rsid w:val="00F4495E"/>
    <w:rsid w:val="00F45321"/>
    <w:rsid w:val="00F470EF"/>
    <w:rsid w:val="00F4729A"/>
    <w:rsid w:val="00F52CC0"/>
    <w:rsid w:val="00F541D9"/>
    <w:rsid w:val="00F60538"/>
    <w:rsid w:val="00F6276F"/>
    <w:rsid w:val="00F6369F"/>
    <w:rsid w:val="00F81715"/>
    <w:rsid w:val="00F82D5B"/>
    <w:rsid w:val="00F87ACD"/>
    <w:rsid w:val="00F97784"/>
    <w:rsid w:val="00F97EAC"/>
    <w:rsid w:val="00FA2530"/>
    <w:rsid w:val="00FA766B"/>
    <w:rsid w:val="00FB3F31"/>
    <w:rsid w:val="00FC0F04"/>
    <w:rsid w:val="00FC16DE"/>
    <w:rsid w:val="00FC7F92"/>
    <w:rsid w:val="00FF41E7"/>
    <w:rsid w:val="00FF52F0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4F9100-63A4-4DA7-8992-3534D3F7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8B9"/>
  </w:style>
  <w:style w:type="paragraph" w:styleId="1">
    <w:name w:val="heading 1"/>
    <w:basedOn w:val="a"/>
    <w:next w:val="a"/>
    <w:link w:val="10"/>
    <w:uiPriority w:val="9"/>
    <w:qFormat/>
    <w:rsid w:val="003B2D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7C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124E3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24E3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6124E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1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Document Map"/>
    <w:basedOn w:val="a"/>
    <w:link w:val="a6"/>
    <w:uiPriority w:val="99"/>
    <w:semiHidden/>
    <w:unhideWhenUsed/>
    <w:rsid w:val="00027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027D9C"/>
    <w:rPr>
      <w:rFonts w:ascii="Tahoma" w:hAnsi="Tahoma" w:cs="Tahoma"/>
      <w:sz w:val="16"/>
      <w:szCs w:val="16"/>
    </w:rPr>
  </w:style>
  <w:style w:type="paragraph" w:styleId="a7">
    <w:name w:val="No Spacing"/>
    <w:qFormat/>
    <w:rsid w:val="00FF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F41E7"/>
    <w:rPr>
      <w:b/>
      <w:bCs/>
    </w:rPr>
  </w:style>
  <w:style w:type="character" w:customStyle="1" w:styleId="apple-converted-space">
    <w:name w:val="apple-converted-space"/>
    <w:basedOn w:val="a0"/>
    <w:rsid w:val="00FF41E7"/>
  </w:style>
  <w:style w:type="character" w:customStyle="1" w:styleId="20">
    <w:name w:val="Заголовок 2 Знак"/>
    <w:basedOn w:val="a0"/>
    <w:link w:val="2"/>
    <w:uiPriority w:val="9"/>
    <w:semiHidden/>
    <w:rsid w:val="00307C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nhideWhenUsed/>
    <w:rsid w:val="00307C9C"/>
    <w:rPr>
      <w:color w:val="0000FF"/>
      <w:u w:val="single"/>
    </w:rPr>
  </w:style>
  <w:style w:type="character" w:customStyle="1" w:styleId="articleseperator">
    <w:name w:val="article_seperator"/>
    <w:basedOn w:val="a0"/>
    <w:rsid w:val="00307C9C"/>
  </w:style>
  <w:style w:type="paragraph" w:customStyle="1" w:styleId="aa">
    <w:name w:val="Без інтервалів"/>
    <w:qFormat/>
    <w:rsid w:val="00866E3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40">
    <w:name w:val="Font Style40"/>
    <w:basedOn w:val="a0"/>
    <w:rsid w:val="00123424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C84C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84C42"/>
    <w:rPr>
      <w:rFonts w:ascii="Courier New" w:eastAsia="Times New Roman" w:hAnsi="Courier New" w:cs="Courier New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785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85287"/>
  </w:style>
  <w:style w:type="paragraph" w:styleId="ad">
    <w:name w:val="footer"/>
    <w:basedOn w:val="a"/>
    <w:link w:val="ae"/>
    <w:uiPriority w:val="99"/>
    <w:semiHidden/>
    <w:unhideWhenUsed/>
    <w:rsid w:val="00785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85287"/>
  </w:style>
  <w:style w:type="character" w:customStyle="1" w:styleId="10">
    <w:name w:val="Заголовок 1 Знак"/>
    <w:basedOn w:val="a0"/>
    <w:link w:val="1"/>
    <w:uiPriority w:val="9"/>
    <w:rsid w:val="003B2D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vps7">
    <w:name w:val="rvps7"/>
    <w:basedOn w:val="a"/>
    <w:rsid w:val="00C67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C67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C67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C67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67C59"/>
  </w:style>
  <w:style w:type="paragraph" w:customStyle="1" w:styleId="Default">
    <w:name w:val="Default"/>
    <w:rsid w:val="009A4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11">
    <w:name w:val="Обычный1"/>
    <w:rsid w:val="00076D9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f">
    <w:name w:val="List Paragraph"/>
    <w:basedOn w:val="a"/>
    <w:qFormat/>
    <w:rsid w:val="004315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zvytok@rada.c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6BDD5-C2C0-487B-B010-D2758CEC3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3296</Words>
  <Characters>18792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kompvid2</cp:lastModifiedBy>
  <cp:revision>3</cp:revision>
  <cp:lastPrinted>2020-07-29T10:51:00Z</cp:lastPrinted>
  <dcterms:created xsi:type="dcterms:W3CDTF">2020-08-10T13:37:00Z</dcterms:created>
  <dcterms:modified xsi:type="dcterms:W3CDTF">2020-08-10T13:37:00Z</dcterms:modified>
</cp:coreProperties>
</file>