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304" w:rsidRDefault="00153304" w:rsidP="00153304">
      <w:pPr>
        <w:jc w:val="center"/>
        <w:rPr>
          <w:color w:val="auto"/>
          <w:sz w:val="36"/>
          <w:szCs w:val="36"/>
        </w:rPr>
      </w:pPr>
      <w:r>
        <w:rPr>
          <w:b w:val="0"/>
          <w:noProof/>
          <w:sz w:val="36"/>
          <w:szCs w:val="36"/>
          <w:lang w:val="uk-UA" w:eastAsia="uk-UA"/>
        </w:rPr>
        <w:drawing>
          <wp:inline distT="0" distB="0" distL="0" distR="0">
            <wp:extent cx="46672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153304" w:rsidRDefault="00153304" w:rsidP="00153304">
      <w:pPr>
        <w:jc w:val="center"/>
        <w:rPr>
          <w:sz w:val="36"/>
          <w:szCs w:val="36"/>
        </w:rPr>
      </w:pPr>
      <w:r>
        <w:rPr>
          <w:b w:val="0"/>
          <w:sz w:val="36"/>
          <w:szCs w:val="36"/>
        </w:rPr>
        <w:t>У К Р А Ї Н А</w:t>
      </w:r>
    </w:p>
    <w:p w:rsidR="00153304" w:rsidRDefault="00153304" w:rsidP="00153304">
      <w:pPr>
        <w:jc w:val="center"/>
        <w:rPr>
          <w:sz w:val="36"/>
          <w:szCs w:val="36"/>
        </w:rPr>
      </w:pPr>
      <w:r>
        <w:rPr>
          <w:b w:val="0"/>
          <w:sz w:val="36"/>
          <w:szCs w:val="36"/>
        </w:rPr>
        <w:t>Чернівецький  міський голова</w:t>
      </w:r>
    </w:p>
    <w:p w:rsidR="00153304" w:rsidRDefault="00153304" w:rsidP="00153304">
      <w:pPr>
        <w:pStyle w:val="3"/>
        <w:rPr>
          <w:lang w:val="uk-UA"/>
        </w:rPr>
      </w:pPr>
      <w:r>
        <w:t>Р О З П О Р Я Д Ж Е Н Н Я</w:t>
      </w:r>
    </w:p>
    <w:p w:rsidR="00153304" w:rsidRDefault="00153304" w:rsidP="00153304">
      <w:pPr>
        <w:jc w:val="center"/>
        <w:rPr>
          <w:sz w:val="36"/>
          <w:szCs w:val="36"/>
          <w:lang w:val="uk-UA"/>
        </w:rPr>
      </w:pPr>
    </w:p>
    <w:p w:rsidR="00153304" w:rsidRDefault="00153304" w:rsidP="00153304">
      <w:pPr>
        <w:pStyle w:val="1"/>
        <w:rPr>
          <w:bCs/>
          <w:sz w:val="27"/>
        </w:rPr>
      </w:pPr>
      <w:r>
        <w:rPr>
          <w:bCs/>
          <w:sz w:val="27"/>
        </w:rPr>
        <w:t xml:space="preserve">01.04   2020  № 133-р                </w:t>
      </w:r>
      <w:r>
        <w:rPr>
          <w:bCs/>
          <w:sz w:val="27"/>
        </w:rPr>
        <w:tab/>
        <w:t xml:space="preserve">     </w:t>
      </w:r>
      <w:r>
        <w:rPr>
          <w:bCs/>
          <w:sz w:val="27"/>
        </w:rPr>
        <w:tab/>
      </w:r>
      <w:r>
        <w:rPr>
          <w:bCs/>
          <w:sz w:val="27"/>
        </w:rPr>
        <w:tab/>
        <w:t xml:space="preserve">         </w:t>
      </w:r>
      <w:r>
        <w:rPr>
          <w:bCs/>
          <w:sz w:val="27"/>
        </w:rPr>
        <w:tab/>
      </w:r>
      <w:r>
        <w:rPr>
          <w:bCs/>
          <w:sz w:val="27"/>
        </w:rPr>
        <w:tab/>
        <w:t xml:space="preserve">             м. Чернівці</w:t>
      </w:r>
    </w:p>
    <w:p w:rsidR="00153304" w:rsidRDefault="00153304" w:rsidP="00153304">
      <w:pPr>
        <w:rPr>
          <w:lang w:val="uk-UA"/>
        </w:rPr>
      </w:pPr>
    </w:p>
    <w:p w:rsidR="00153304" w:rsidRDefault="00153304" w:rsidP="00153304">
      <w:pPr>
        <w:rPr>
          <w:lang w:val="uk-UA"/>
        </w:rPr>
      </w:pPr>
    </w:p>
    <w:p w:rsidR="00153304" w:rsidRDefault="00153304" w:rsidP="00153304">
      <w:pPr>
        <w:pStyle w:val="1"/>
        <w:rPr>
          <w:b/>
        </w:rPr>
      </w:pPr>
      <w:r>
        <w:rPr>
          <w:b/>
        </w:rPr>
        <w:t xml:space="preserve">Про затвердження заходів </w:t>
      </w:r>
    </w:p>
    <w:p w:rsidR="00153304" w:rsidRDefault="00153304" w:rsidP="00153304">
      <w:pPr>
        <w:pStyle w:val="1"/>
        <w:rPr>
          <w:b/>
        </w:rPr>
      </w:pPr>
      <w:r>
        <w:rPr>
          <w:b/>
        </w:rPr>
        <w:t>з енергозбереження на 2020 рік</w:t>
      </w:r>
    </w:p>
    <w:p w:rsidR="00153304" w:rsidRDefault="00153304" w:rsidP="00153304">
      <w:pPr>
        <w:rPr>
          <w:lang w:val="uk-UA"/>
        </w:rPr>
      </w:pPr>
    </w:p>
    <w:p w:rsidR="00153304" w:rsidRDefault="00153304" w:rsidP="00153304">
      <w:pPr>
        <w:rPr>
          <w:lang w:val="uk-UA"/>
        </w:rPr>
      </w:pPr>
    </w:p>
    <w:p w:rsidR="00153304" w:rsidRDefault="00153304" w:rsidP="00153304">
      <w:pPr>
        <w:rPr>
          <w:lang w:val="uk-UA"/>
        </w:rPr>
      </w:pPr>
    </w:p>
    <w:p w:rsidR="00153304" w:rsidRDefault="00153304" w:rsidP="00153304">
      <w:pPr>
        <w:jc w:val="both"/>
        <w:rPr>
          <w:b w:val="0"/>
          <w:sz w:val="28"/>
          <w:szCs w:val="28"/>
          <w:lang w:val="uk-UA"/>
        </w:rPr>
      </w:pPr>
      <w:r>
        <w:rPr>
          <w:lang w:val="uk-UA"/>
        </w:rPr>
        <w:tab/>
      </w:r>
      <w:r>
        <w:rPr>
          <w:b w:val="0"/>
          <w:sz w:val="28"/>
          <w:szCs w:val="28"/>
          <w:lang w:val="uk-UA"/>
        </w:rPr>
        <w:t>Відповідно до статті 42 Закону України « Про місцеве самоврядування в Україні», розпорядження Чернівецького міського голови від 21.01.2020 року № 21-р « Про затвердження плану заходів на 2020 рік щодо економії бюджетних коштів та недопущення витрат бюджету» та з метою економного і раціонального використання енергоносіїв та коштів місцевого бюджету:</w:t>
      </w:r>
    </w:p>
    <w:p w:rsidR="00153304" w:rsidRDefault="00153304" w:rsidP="00153304">
      <w:pPr>
        <w:jc w:val="both"/>
        <w:rPr>
          <w:lang w:val="uk-UA"/>
        </w:rPr>
      </w:pPr>
    </w:p>
    <w:p w:rsidR="00153304" w:rsidRDefault="00153304" w:rsidP="00153304">
      <w:pPr>
        <w:jc w:val="both"/>
        <w:rPr>
          <w:b w:val="0"/>
          <w:sz w:val="28"/>
          <w:szCs w:val="28"/>
          <w:lang w:val="uk-UA"/>
        </w:rPr>
      </w:pPr>
      <w:r>
        <w:rPr>
          <w:lang w:val="uk-UA"/>
        </w:rPr>
        <w:tab/>
      </w:r>
      <w:r>
        <w:rPr>
          <w:sz w:val="28"/>
          <w:szCs w:val="28"/>
          <w:lang w:val="uk-UA"/>
        </w:rPr>
        <w:t>1</w:t>
      </w:r>
      <w:r>
        <w:rPr>
          <w:b w:val="0"/>
          <w:sz w:val="28"/>
          <w:szCs w:val="28"/>
          <w:lang w:val="uk-UA"/>
        </w:rPr>
        <w:t>.Затвердити План заходів з енергозбереження на 2020 рік, згідно з додатком.</w:t>
      </w: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r>
        <w:rPr>
          <w:b w:val="0"/>
          <w:sz w:val="28"/>
          <w:szCs w:val="28"/>
          <w:lang w:val="uk-UA"/>
        </w:rPr>
        <w:tab/>
      </w:r>
      <w:r>
        <w:rPr>
          <w:sz w:val="28"/>
          <w:szCs w:val="28"/>
          <w:lang w:val="uk-UA"/>
        </w:rPr>
        <w:t>2</w:t>
      </w:r>
      <w:r>
        <w:rPr>
          <w:b w:val="0"/>
          <w:sz w:val="28"/>
          <w:szCs w:val="28"/>
          <w:lang w:val="uk-UA"/>
        </w:rPr>
        <w:t>. Керівникам виконавчих органів міської ради, фінансування яких проводиться відділом бухгалтерського обліку та звітності міської ради, комунальної бюджетної установи «Чернівецька міська рятувальна служба на воді», групи по ТГО міськрайрад, Чернівецькому міському центру соціальних служб для сім`ї, дітей та молоді вжити заходів з енергозбереження та забезпечення виконання Плану заходів з енергозбереження на 2020 рік.</w:t>
      </w: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r>
        <w:rPr>
          <w:b w:val="0"/>
          <w:sz w:val="28"/>
          <w:szCs w:val="28"/>
          <w:lang w:val="uk-UA"/>
        </w:rPr>
        <w:tab/>
      </w:r>
      <w:r>
        <w:rPr>
          <w:sz w:val="28"/>
          <w:szCs w:val="28"/>
          <w:lang w:val="uk-UA"/>
        </w:rPr>
        <w:t>3</w:t>
      </w:r>
      <w:r>
        <w:rPr>
          <w:b w:val="0"/>
          <w:sz w:val="28"/>
          <w:szCs w:val="28"/>
          <w:lang w:val="uk-UA"/>
        </w:rPr>
        <w:t>. Контроль за виконанням цього розпорядження залишаю за собою.</w:t>
      </w: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sz w:val="28"/>
          <w:szCs w:val="28"/>
          <w:lang w:val="uk-UA"/>
        </w:rPr>
      </w:pPr>
      <w:r>
        <w:rPr>
          <w:sz w:val="28"/>
          <w:szCs w:val="28"/>
          <w:lang w:val="uk-UA"/>
        </w:rPr>
        <w:t xml:space="preserve">Чернівецький міський голова </w:t>
      </w:r>
      <w:r>
        <w:rPr>
          <w:sz w:val="28"/>
          <w:szCs w:val="28"/>
          <w:lang w:val="uk-UA"/>
        </w:rPr>
        <w:tab/>
      </w:r>
      <w:r>
        <w:rPr>
          <w:sz w:val="28"/>
          <w:szCs w:val="28"/>
          <w:lang w:val="uk-UA"/>
        </w:rPr>
        <w:tab/>
      </w:r>
      <w:r>
        <w:rPr>
          <w:sz w:val="28"/>
          <w:szCs w:val="28"/>
          <w:lang w:val="uk-UA"/>
        </w:rPr>
        <w:tab/>
        <w:t xml:space="preserve">           </w:t>
      </w:r>
      <w:r>
        <w:rPr>
          <w:sz w:val="28"/>
          <w:szCs w:val="28"/>
          <w:lang w:val="uk-UA"/>
        </w:rPr>
        <w:tab/>
        <w:t>О.Каспрук</w:t>
      </w: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rPr>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sz w:val="28"/>
          <w:szCs w:val="28"/>
          <w:lang w:val="uk-UA"/>
        </w:rPr>
      </w:pPr>
      <w:r>
        <w:rPr>
          <w:b w:val="0"/>
          <w:sz w:val="28"/>
          <w:szCs w:val="28"/>
          <w:lang w:val="uk-UA"/>
        </w:rPr>
        <w:lastRenderedPageBreak/>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sz w:val="28"/>
          <w:szCs w:val="28"/>
          <w:lang w:val="uk-UA"/>
        </w:rPr>
        <w:t xml:space="preserve">Додаток до розпорядження </w:t>
      </w:r>
    </w:p>
    <w:p w:rsidR="00153304" w:rsidRDefault="00153304" w:rsidP="0015330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Чернівецького міського голови</w:t>
      </w:r>
    </w:p>
    <w:p w:rsidR="00153304" w:rsidRDefault="00153304" w:rsidP="00153304">
      <w:pPr>
        <w:jc w:val="both"/>
        <w:rPr>
          <w:sz w:val="28"/>
          <w:szCs w:val="28"/>
          <w:lang w:val="uk-UA"/>
        </w:rPr>
      </w:pPr>
      <w:r>
        <w:rPr>
          <w:sz w:val="28"/>
          <w:szCs w:val="28"/>
          <w:lang w:val="uk-UA"/>
        </w:rPr>
        <w:t xml:space="preserve">                                                                          01.04.2020   № 133-р</w:t>
      </w:r>
    </w:p>
    <w:p w:rsidR="00153304" w:rsidRDefault="00153304" w:rsidP="00153304">
      <w:pPr>
        <w:jc w:val="both"/>
        <w:rPr>
          <w:sz w:val="28"/>
          <w:szCs w:val="28"/>
          <w:lang w:val="uk-UA"/>
        </w:rPr>
      </w:pPr>
    </w:p>
    <w:p w:rsidR="00153304" w:rsidRDefault="00153304" w:rsidP="00153304">
      <w:pPr>
        <w:jc w:val="both"/>
        <w:rPr>
          <w:sz w:val="28"/>
          <w:szCs w:val="28"/>
          <w:lang w:val="uk-UA"/>
        </w:rPr>
      </w:pPr>
    </w:p>
    <w:p w:rsidR="00153304" w:rsidRDefault="00153304" w:rsidP="00153304">
      <w:pPr>
        <w:jc w:val="center"/>
        <w:rPr>
          <w:sz w:val="28"/>
          <w:szCs w:val="28"/>
          <w:lang w:val="uk-UA"/>
        </w:rPr>
      </w:pPr>
      <w:r>
        <w:rPr>
          <w:sz w:val="28"/>
          <w:szCs w:val="28"/>
          <w:lang w:val="uk-UA"/>
        </w:rPr>
        <w:t>План заходів</w:t>
      </w:r>
    </w:p>
    <w:p w:rsidR="00153304" w:rsidRDefault="00153304" w:rsidP="00153304">
      <w:pPr>
        <w:jc w:val="center"/>
        <w:rPr>
          <w:sz w:val="28"/>
          <w:szCs w:val="28"/>
          <w:lang w:val="uk-UA"/>
        </w:rPr>
      </w:pPr>
      <w:r>
        <w:rPr>
          <w:sz w:val="28"/>
          <w:szCs w:val="28"/>
          <w:lang w:val="uk-UA"/>
        </w:rPr>
        <w:t xml:space="preserve">з енергозбереження із забезпеченням зменшення </w:t>
      </w:r>
    </w:p>
    <w:p w:rsidR="00153304" w:rsidRDefault="00153304" w:rsidP="00153304">
      <w:pPr>
        <w:jc w:val="center"/>
        <w:rPr>
          <w:sz w:val="28"/>
          <w:szCs w:val="28"/>
          <w:lang w:val="uk-UA"/>
        </w:rPr>
      </w:pPr>
      <w:r>
        <w:rPr>
          <w:sz w:val="28"/>
          <w:szCs w:val="28"/>
          <w:lang w:val="uk-UA"/>
        </w:rPr>
        <w:t xml:space="preserve">витрат на оплату комунальних послуг та енергоносіїв </w:t>
      </w:r>
    </w:p>
    <w:p w:rsidR="00153304" w:rsidRDefault="00153304" w:rsidP="00153304">
      <w:pPr>
        <w:jc w:val="center"/>
        <w:rPr>
          <w:sz w:val="28"/>
          <w:szCs w:val="28"/>
          <w:lang w:val="uk-UA"/>
        </w:rPr>
      </w:pPr>
      <w:r>
        <w:rPr>
          <w:sz w:val="28"/>
          <w:szCs w:val="28"/>
          <w:lang w:val="uk-UA"/>
        </w:rPr>
        <w:t>виконавчого комітету Чернівецької міської ради</w:t>
      </w:r>
    </w:p>
    <w:p w:rsidR="00153304" w:rsidRDefault="00153304" w:rsidP="00153304">
      <w:pPr>
        <w:jc w:val="center"/>
        <w:rPr>
          <w:sz w:val="28"/>
          <w:szCs w:val="28"/>
          <w:lang w:val="uk-UA"/>
        </w:rPr>
      </w:pPr>
      <w:r>
        <w:rPr>
          <w:sz w:val="28"/>
          <w:szCs w:val="28"/>
          <w:lang w:val="uk-UA"/>
        </w:rPr>
        <w:t>на 2020 рік</w:t>
      </w:r>
    </w:p>
    <w:p w:rsidR="00153304" w:rsidRDefault="00153304" w:rsidP="00153304">
      <w:pPr>
        <w:jc w:val="center"/>
        <w:rPr>
          <w:b w:val="0"/>
          <w:sz w:val="28"/>
          <w:szCs w:val="28"/>
          <w:lang w:val="uk-UA"/>
        </w:rPr>
      </w:pPr>
    </w:p>
    <w:p w:rsidR="00153304" w:rsidRDefault="00153304" w:rsidP="00153304">
      <w:pPr>
        <w:jc w:val="center"/>
        <w:rPr>
          <w:b w:val="0"/>
          <w:sz w:val="28"/>
          <w:szCs w:val="28"/>
          <w:lang w:val="uk-UA"/>
        </w:rPr>
      </w:pPr>
    </w:p>
    <w:tbl>
      <w:tblPr>
        <w:tblStyle w:val="a5"/>
        <w:tblW w:w="0" w:type="auto"/>
        <w:tblInd w:w="0" w:type="dxa"/>
        <w:tblLook w:val="04A0" w:firstRow="1" w:lastRow="0" w:firstColumn="1" w:lastColumn="0" w:noHBand="0" w:noVBand="1"/>
      </w:tblPr>
      <w:tblGrid>
        <w:gridCol w:w="943"/>
        <w:gridCol w:w="4270"/>
        <w:gridCol w:w="2048"/>
        <w:gridCol w:w="2368"/>
      </w:tblGrid>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w:t>
            </w:r>
          </w:p>
          <w:p w:rsidR="00153304" w:rsidRDefault="00153304">
            <w:pPr>
              <w:jc w:val="center"/>
              <w:rPr>
                <w:b w:val="0"/>
                <w:sz w:val="28"/>
                <w:szCs w:val="28"/>
                <w:lang w:val="uk-UA"/>
              </w:rPr>
            </w:pPr>
            <w:r>
              <w:rPr>
                <w:b w:val="0"/>
                <w:sz w:val="28"/>
                <w:szCs w:val="28"/>
                <w:lang w:val="uk-UA"/>
              </w:rPr>
              <w:t>п/п</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Зміст заходу</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Термін виконання</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Відповідальні виконавці</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1</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Забезпечити режим економного використання електричної енергії, води, теплової енергії…</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Керівники структурних підрозділів міської ради, бюджетних установ</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2</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Проводити заміну електричних ламп розжарювання на енергозберігаючі</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Провідні фахівці з господарських питань</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3</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Забезпечити укладання договорів на постачання енергоносіїв у межах встановлених обгрунтованих лімітів споживання</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на початку року</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Провідні фахівці з господарських питань</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4</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Зобов`язати по закінченню робочого дня вимикати електрообладнання у службових приміщеннях</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Керівники структурних підрозділів міської ради, бюджетних установ</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5</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Не допускати освітлення службових приміщень при достатньому природному освітлені</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r>
              <w:rPr>
                <w:b w:val="0"/>
                <w:sz w:val="28"/>
                <w:szCs w:val="28"/>
                <w:lang w:val="uk-UA"/>
              </w:rPr>
              <w:t>Керівники структурних підрозділів міської ради, бюджетних установ</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6</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Заборонити використання електрообігрівачів для опалення приміщень ( за умови належного функціонування системи централізованого опалення)</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під час опалювального періоду</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r>
              <w:rPr>
                <w:b w:val="0"/>
                <w:sz w:val="28"/>
                <w:szCs w:val="28"/>
                <w:lang w:val="uk-UA"/>
              </w:rPr>
              <w:t>Керівники структурних підрозділів міської ради, бюджетних установ</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lastRenderedPageBreak/>
              <w:t>7</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Забезпечити використання комп`ютерної техніки в режимі економічної експлуатації з переключенням на режим очікування з низьким використанням електроенергії</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Керівники структурних підрозділів міської ради, бюджетних установ</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8</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Продовжувати ведення журналів обліку спожитої теплової енергії, електроенергії, води</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щомісячно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Провідні фахівці з господарських питань</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9</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Проводити роз`яснювальну роботу серед працівників щодо збереження та економічного використання тепло-,водо-, енергоносіїв</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Керівники структурних підрозділів міської ради, бюджетних установ</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10</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Здійснювати технічне обстеження обладнання з метою збереження та економічного використання тепло-,водо-, енергоносіїв</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Провідні фахівці з господарських питань</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11</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При придбані нових електроприладів надавати перевагу енергоощадному обладнанню</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r>
              <w:rPr>
                <w:b w:val="0"/>
                <w:sz w:val="28"/>
                <w:szCs w:val="28"/>
                <w:lang w:val="uk-UA"/>
              </w:rPr>
              <w:t>Керівники структурних підрозділів міської ради, бюджетних установ</w:t>
            </w:r>
          </w:p>
        </w:tc>
      </w:tr>
      <w:tr w:rsidR="00153304" w:rsidTr="00153304">
        <w:tc>
          <w:tcPr>
            <w:tcW w:w="943" w:type="dxa"/>
            <w:tcBorders>
              <w:top w:val="single" w:sz="4" w:space="0" w:color="auto"/>
              <w:left w:val="single" w:sz="4" w:space="0" w:color="auto"/>
              <w:bottom w:val="single" w:sz="4" w:space="0" w:color="auto"/>
              <w:right w:val="single" w:sz="4" w:space="0" w:color="auto"/>
            </w:tcBorders>
            <w:hideMark/>
          </w:tcPr>
          <w:p w:rsidR="00153304" w:rsidRDefault="00153304">
            <w:pPr>
              <w:jc w:val="center"/>
              <w:rPr>
                <w:b w:val="0"/>
                <w:sz w:val="28"/>
                <w:szCs w:val="28"/>
                <w:lang w:val="uk-UA"/>
              </w:rPr>
            </w:pPr>
            <w:r>
              <w:rPr>
                <w:b w:val="0"/>
                <w:sz w:val="28"/>
                <w:szCs w:val="28"/>
                <w:lang w:val="uk-UA"/>
              </w:rPr>
              <w:t>12</w:t>
            </w:r>
          </w:p>
        </w:tc>
        <w:tc>
          <w:tcPr>
            <w:tcW w:w="4270"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Посилити контроль та відповідальність за дотриманням заходів економічного використання усіх енергоносіїв</w:t>
            </w:r>
          </w:p>
        </w:tc>
        <w:tc>
          <w:tcPr>
            <w:tcW w:w="2048" w:type="dxa"/>
            <w:tcBorders>
              <w:top w:val="single" w:sz="4" w:space="0" w:color="auto"/>
              <w:left w:val="single" w:sz="4" w:space="0" w:color="auto"/>
              <w:bottom w:val="single" w:sz="4" w:space="0" w:color="auto"/>
              <w:right w:val="single" w:sz="4" w:space="0" w:color="auto"/>
            </w:tcBorders>
            <w:hideMark/>
          </w:tcPr>
          <w:p w:rsidR="00153304" w:rsidRDefault="00153304">
            <w:pPr>
              <w:rPr>
                <w:b w:val="0"/>
                <w:sz w:val="28"/>
                <w:szCs w:val="28"/>
                <w:lang w:val="uk-UA"/>
              </w:rPr>
            </w:pPr>
            <w:r>
              <w:rPr>
                <w:b w:val="0"/>
                <w:sz w:val="28"/>
                <w:szCs w:val="28"/>
                <w:lang w:val="uk-UA"/>
              </w:rPr>
              <w:t>постійно</w:t>
            </w:r>
          </w:p>
        </w:tc>
        <w:tc>
          <w:tcPr>
            <w:tcW w:w="2368" w:type="dxa"/>
            <w:tcBorders>
              <w:top w:val="single" w:sz="4" w:space="0" w:color="auto"/>
              <w:left w:val="single" w:sz="4" w:space="0" w:color="auto"/>
              <w:bottom w:val="single" w:sz="4" w:space="0" w:color="auto"/>
              <w:right w:val="single" w:sz="4" w:space="0" w:color="auto"/>
            </w:tcBorders>
            <w:hideMark/>
          </w:tcPr>
          <w:p w:rsidR="00153304" w:rsidRDefault="00153304">
            <w:r>
              <w:rPr>
                <w:b w:val="0"/>
                <w:sz w:val="28"/>
                <w:szCs w:val="28"/>
                <w:lang w:val="uk-UA"/>
              </w:rPr>
              <w:t>Керівники структурних підрозділів міської ради, бюджетних установ</w:t>
            </w:r>
          </w:p>
        </w:tc>
      </w:tr>
    </w:tbl>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b w:val="0"/>
          <w:sz w:val="28"/>
          <w:szCs w:val="28"/>
          <w:lang w:val="uk-UA"/>
        </w:rPr>
      </w:pPr>
    </w:p>
    <w:p w:rsidR="00153304" w:rsidRDefault="00153304" w:rsidP="00153304">
      <w:pPr>
        <w:jc w:val="both"/>
        <w:rPr>
          <w:sz w:val="28"/>
          <w:szCs w:val="28"/>
          <w:lang w:val="uk-UA"/>
        </w:rPr>
      </w:pPr>
    </w:p>
    <w:p w:rsidR="00153304" w:rsidRDefault="00153304" w:rsidP="00153304">
      <w:pPr>
        <w:jc w:val="both"/>
        <w:rPr>
          <w:sz w:val="28"/>
          <w:szCs w:val="28"/>
          <w:lang w:val="uk-UA"/>
        </w:rPr>
      </w:pPr>
    </w:p>
    <w:p w:rsidR="00153304" w:rsidRDefault="00153304" w:rsidP="00153304">
      <w:pPr>
        <w:jc w:val="both"/>
        <w:rPr>
          <w:sz w:val="28"/>
          <w:szCs w:val="28"/>
          <w:lang w:val="uk-UA"/>
        </w:rPr>
      </w:pPr>
      <w:r>
        <w:rPr>
          <w:sz w:val="28"/>
          <w:szCs w:val="28"/>
          <w:lang w:val="uk-UA"/>
        </w:rPr>
        <w:t>Чернівецький 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О.Каспрук</w:t>
      </w:r>
    </w:p>
    <w:p w:rsidR="00153304" w:rsidRDefault="00153304" w:rsidP="00153304">
      <w:pPr>
        <w:jc w:val="both"/>
        <w:rPr>
          <w:sz w:val="28"/>
          <w:szCs w:val="28"/>
          <w:lang w:val="uk-UA"/>
        </w:rPr>
      </w:pPr>
    </w:p>
    <w:p w:rsidR="00153304" w:rsidRDefault="00153304" w:rsidP="00153304">
      <w:pPr>
        <w:jc w:val="both"/>
        <w:rPr>
          <w:sz w:val="28"/>
          <w:szCs w:val="28"/>
          <w:lang w:val="uk-UA"/>
        </w:rPr>
      </w:pPr>
    </w:p>
    <w:p w:rsidR="00052876" w:rsidRPr="002B73E2" w:rsidRDefault="00052876" w:rsidP="002B73E2">
      <w:bookmarkStart w:id="0" w:name="_GoBack"/>
      <w:bookmarkEnd w:id="0"/>
    </w:p>
    <w:sectPr w:rsidR="00052876" w:rsidRPr="002B73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3A9"/>
    <w:rsid w:val="00003501"/>
    <w:rsid w:val="00052876"/>
    <w:rsid w:val="00084F2C"/>
    <w:rsid w:val="00153304"/>
    <w:rsid w:val="00190CD7"/>
    <w:rsid w:val="002B73E2"/>
    <w:rsid w:val="00305521"/>
    <w:rsid w:val="00350D27"/>
    <w:rsid w:val="004E4D34"/>
    <w:rsid w:val="005C1353"/>
    <w:rsid w:val="006C26BF"/>
    <w:rsid w:val="007973A9"/>
    <w:rsid w:val="00B07922"/>
    <w:rsid w:val="00B962AC"/>
    <w:rsid w:val="00D83A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E7635-6D84-425E-A771-82DA83A7D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CD7"/>
    <w:pPr>
      <w:spacing w:after="0" w:line="240" w:lineRule="auto"/>
    </w:pPr>
    <w:rPr>
      <w:rFonts w:ascii="Times New Roman" w:eastAsia="Times New Roman" w:hAnsi="Times New Roman" w:cs="Times New Roman"/>
      <w:b/>
      <w:color w:val="000000"/>
      <w:lang w:val="ru-RU" w:eastAsia="ru-RU"/>
    </w:rPr>
  </w:style>
  <w:style w:type="paragraph" w:styleId="1">
    <w:name w:val="heading 1"/>
    <w:basedOn w:val="a"/>
    <w:next w:val="a"/>
    <w:link w:val="10"/>
    <w:qFormat/>
    <w:rsid w:val="00190CD7"/>
    <w:pPr>
      <w:keepNext/>
      <w:outlineLvl w:val="0"/>
    </w:pPr>
    <w:rPr>
      <w:b w:val="0"/>
      <w:color w:val="auto"/>
      <w:sz w:val="28"/>
      <w:szCs w:val="24"/>
      <w:lang w:val="uk-UA"/>
    </w:rPr>
  </w:style>
  <w:style w:type="paragraph" w:styleId="2">
    <w:name w:val="heading 2"/>
    <w:basedOn w:val="a"/>
    <w:next w:val="a"/>
    <w:link w:val="20"/>
    <w:qFormat/>
    <w:rsid w:val="00190CD7"/>
    <w:pPr>
      <w:keepNext/>
      <w:outlineLvl w:val="1"/>
    </w:pPr>
    <w:rPr>
      <w:bCs/>
      <w:sz w:val="28"/>
      <w:lang w:val="uk-UA"/>
    </w:rPr>
  </w:style>
  <w:style w:type="paragraph" w:styleId="3">
    <w:name w:val="heading 3"/>
    <w:basedOn w:val="a"/>
    <w:next w:val="a"/>
    <w:link w:val="30"/>
    <w:qFormat/>
    <w:rsid w:val="00190CD7"/>
    <w:pPr>
      <w:keepNext/>
      <w:jc w:val="center"/>
      <w:outlineLvl w:val="2"/>
    </w:pPr>
    <w:rPr>
      <w:bCs/>
      <w:sz w:val="36"/>
      <w:szCs w:val="36"/>
    </w:rPr>
  </w:style>
  <w:style w:type="paragraph" w:styleId="4">
    <w:name w:val="heading 4"/>
    <w:basedOn w:val="a"/>
    <w:next w:val="a"/>
    <w:link w:val="40"/>
    <w:uiPriority w:val="9"/>
    <w:semiHidden/>
    <w:unhideWhenUsed/>
    <w:qFormat/>
    <w:rsid w:val="006C26B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4E4D34"/>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0CD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190CD7"/>
    <w:rPr>
      <w:rFonts w:ascii="Times New Roman" w:eastAsia="Times New Roman" w:hAnsi="Times New Roman" w:cs="Times New Roman"/>
      <w:b/>
      <w:bCs/>
      <w:color w:val="000000"/>
      <w:sz w:val="28"/>
      <w:lang w:eastAsia="ru-RU"/>
    </w:rPr>
  </w:style>
  <w:style w:type="character" w:customStyle="1" w:styleId="30">
    <w:name w:val="Заголовок 3 Знак"/>
    <w:basedOn w:val="a0"/>
    <w:link w:val="3"/>
    <w:rsid w:val="00190CD7"/>
    <w:rPr>
      <w:rFonts w:ascii="Times New Roman" w:eastAsia="Times New Roman" w:hAnsi="Times New Roman" w:cs="Times New Roman"/>
      <w:b/>
      <w:bCs/>
      <w:color w:val="000000"/>
      <w:sz w:val="36"/>
      <w:szCs w:val="36"/>
      <w:lang w:val="ru-RU" w:eastAsia="ru-RU"/>
    </w:rPr>
  </w:style>
  <w:style w:type="paragraph" w:styleId="a3">
    <w:name w:val="Body Text"/>
    <w:basedOn w:val="a"/>
    <w:link w:val="a4"/>
    <w:rsid w:val="00190CD7"/>
    <w:rPr>
      <w:b w:val="0"/>
      <w:sz w:val="28"/>
      <w:lang w:val="uk-UA"/>
    </w:rPr>
  </w:style>
  <w:style w:type="character" w:customStyle="1" w:styleId="a4">
    <w:name w:val="Основной текст Знак"/>
    <w:basedOn w:val="a0"/>
    <w:link w:val="a3"/>
    <w:rsid w:val="00190CD7"/>
    <w:rPr>
      <w:rFonts w:ascii="Times New Roman" w:eastAsia="Times New Roman" w:hAnsi="Times New Roman" w:cs="Times New Roman"/>
      <w:color w:val="000000"/>
      <w:sz w:val="28"/>
      <w:lang w:eastAsia="ru-RU"/>
    </w:rPr>
  </w:style>
  <w:style w:type="character" w:customStyle="1" w:styleId="40">
    <w:name w:val="Заголовок 4 Знак"/>
    <w:basedOn w:val="a0"/>
    <w:link w:val="4"/>
    <w:uiPriority w:val="9"/>
    <w:semiHidden/>
    <w:rsid w:val="006C26BF"/>
    <w:rPr>
      <w:rFonts w:asciiTheme="majorHAnsi" w:eastAsiaTheme="majorEastAsia" w:hAnsiTheme="majorHAnsi" w:cstheme="majorBidi"/>
      <w:b/>
      <w:i/>
      <w:iCs/>
      <w:color w:val="2E74B5" w:themeColor="accent1" w:themeShade="BF"/>
      <w:lang w:val="ru-RU" w:eastAsia="ru-RU"/>
    </w:rPr>
  </w:style>
  <w:style w:type="character" w:customStyle="1" w:styleId="50">
    <w:name w:val="Заголовок 5 Знак"/>
    <w:basedOn w:val="a0"/>
    <w:link w:val="5"/>
    <w:uiPriority w:val="9"/>
    <w:semiHidden/>
    <w:rsid w:val="004E4D34"/>
    <w:rPr>
      <w:rFonts w:asciiTheme="majorHAnsi" w:eastAsiaTheme="majorEastAsia" w:hAnsiTheme="majorHAnsi" w:cstheme="majorBidi"/>
      <w:b/>
      <w:color w:val="2E74B5" w:themeColor="accent1" w:themeShade="BF"/>
      <w:lang w:val="ru-RU" w:eastAsia="ru-RU"/>
    </w:rPr>
  </w:style>
  <w:style w:type="table" w:styleId="a5">
    <w:name w:val="Table Grid"/>
    <w:basedOn w:val="a1"/>
    <w:uiPriority w:val="39"/>
    <w:rsid w:val="0015330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06207">
      <w:bodyDiv w:val="1"/>
      <w:marLeft w:val="0"/>
      <w:marRight w:val="0"/>
      <w:marTop w:val="0"/>
      <w:marBottom w:val="0"/>
      <w:divBdr>
        <w:top w:val="none" w:sz="0" w:space="0" w:color="auto"/>
        <w:left w:val="none" w:sz="0" w:space="0" w:color="auto"/>
        <w:bottom w:val="none" w:sz="0" w:space="0" w:color="auto"/>
        <w:right w:val="none" w:sz="0" w:space="0" w:color="auto"/>
      </w:divBdr>
    </w:div>
    <w:div w:id="1003126154">
      <w:bodyDiv w:val="1"/>
      <w:marLeft w:val="0"/>
      <w:marRight w:val="0"/>
      <w:marTop w:val="0"/>
      <w:marBottom w:val="0"/>
      <w:divBdr>
        <w:top w:val="none" w:sz="0" w:space="0" w:color="auto"/>
        <w:left w:val="none" w:sz="0" w:space="0" w:color="auto"/>
        <w:bottom w:val="none" w:sz="0" w:space="0" w:color="auto"/>
        <w:right w:val="none" w:sz="0" w:space="0" w:color="auto"/>
      </w:divBdr>
    </w:div>
    <w:div w:id="1452356363">
      <w:bodyDiv w:val="1"/>
      <w:marLeft w:val="0"/>
      <w:marRight w:val="0"/>
      <w:marTop w:val="0"/>
      <w:marBottom w:val="0"/>
      <w:divBdr>
        <w:top w:val="none" w:sz="0" w:space="0" w:color="auto"/>
        <w:left w:val="none" w:sz="0" w:space="0" w:color="auto"/>
        <w:bottom w:val="none" w:sz="0" w:space="0" w:color="auto"/>
        <w:right w:val="none" w:sz="0" w:space="0" w:color="auto"/>
      </w:divBdr>
    </w:div>
    <w:div w:id="1593784257">
      <w:bodyDiv w:val="1"/>
      <w:marLeft w:val="0"/>
      <w:marRight w:val="0"/>
      <w:marTop w:val="0"/>
      <w:marBottom w:val="0"/>
      <w:divBdr>
        <w:top w:val="none" w:sz="0" w:space="0" w:color="auto"/>
        <w:left w:val="none" w:sz="0" w:space="0" w:color="auto"/>
        <w:bottom w:val="none" w:sz="0" w:space="0" w:color="auto"/>
        <w:right w:val="none" w:sz="0" w:space="0" w:color="auto"/>
      </w:divBdr>
    </w:div>
    <w:div w:id="213609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2395</Words>
  <Characters>1366</Characters>
  <Application>Microsoft Office Word</Application>
  <DocSecurity>0</DocSecurity>
  <Lines>11</Lines>
  <Paragraphs>7</Paragraphs>
  <ScaleCrop>false</ScaleCrop>
  <Company>diakov.net</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26</cp:revision>
  <dcterms:created xsi:type="dcterms:W3CDTF">2019-11-07T09:36:00Z</dcterms:created>
  <dcterms:modified xsi:type="dcterms:W3CDTF">2020-04-02T08:13:00Z</dcterms:modified>
</cp:coreProperties>
</file>