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AC" w:rsidRDefault="005574AC" w:rsidP="009C08D9">
      <w:pPr>
        <w:jc w:val="center"/>
        <w:rPr>
          <w:rFonts w:eastAsia="SimSun"/>
          <w:b/>
          <w:bCs/>
          <w:sz w:val="36"/>
          <w:szCs w:val="36"/>
          <w:lang w:val="uk-UA" w:eastAsia="zh-CN"/>
        </w:rPr>
      </w:pPr>
    </w:p>
    <w:p w:rsidR="009C08D9" w:rsidRPr="005574AC" w:rsidRDefault="00E54258" w:rsidP="009C08D9">
      <w:pPr>
        <w:jc w:val="center"/>
        <w:rPr>
          <w:b/>
          <w:bCs/>
          <w:sz w:val="36"/>
          <w:szCs w:val="36"/>
          <w:lang w:val="uk-UA"/>
        </w:rPr>
      </w:pPr>
      <w:r>
        <w:rPr>
          <w:rFonts w:eastAsia="SimSun"/>
          <w:b/>
          <w:bCs/>
          <w:sz w:val="36"/>
          <w:szCs w:val="36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8D9" w:rsidRDefault="009C08D9" w:rsidP="009C08D9">
      <w:pPr>
        <w:pStyle w:val="a3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</w:rPr>
        <w:t>У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К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Р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Ї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Н</w:t>
      </w:r>
      <w:r>
        <w:rPr>
          <w:rFonts w:ascii="Times New Roman" w:hAnsi="Times New Roman" w:cs="Times New Roman"/>
          <w:noProof w:val="0"/>
          <w:sz w:val="36"/>
          <w:szCs w:val="36"/>
          <w:lang w:val="uk-UA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p w:rsidR="009C08D9" w:rsidRDefault="009C08D9" w:rsidP="009C08D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</w:t>
      </w:r>
      <w:r w:rsidR="00A63A09">
        <w:rPr>
          <w:b/>
          <w:bCs/>
          <w:sz w:val="36"/>
          <w:szCs w:val="36"/>
          <w:lang w:val="uk-UA"/>
        </w:rPr>
        <w:t>ий</w:t>
      </w:r>
      <w:r>
        <w:rPr>
          <w:b/>
          <w:bCs/>
          <w:sz w:val="36"/>
          <w:szCs w:val="36"/>
          <w:lang w:val="uk-UA"/>
        </w:rPr>
        <w:t xml:space="preserve"> міськ</w:t>
      </w:r>
      <w:r w:rsidR="00A63A09">
        <w:rPr>
          <w:b/>
          <w:bCs/>
          <w:sz w:val="36"/>
          <w:szCs w:val="36"/>
          <w:lang w:val="uk-UA"/>
        </w:rPr>
        <w:t>ий</w:t>
      </w:r>
      <w:r>
        <w:rPr>
          <w:b/>
          <w:bCs/>
          <w:sz w:val="36"/>
          <w:szCs w:val="36"/>
          <w:lang w:val="uk-UA"/>
        </w:rPr>
        <w:t xml:space="preserve"> </w:t>
      </w:r>
      <w:r w:rsidR="00A63A09">
        <w:rPr>
          <w:b/>
          <w:bCs/>
          <w:sz w:val="36"/>
          <w:szCs w:val="36"/>
          <w:lang w:val="uk-UA"/>
        </w:rPr>
        <w:t>голова</w:t>
      </w:r>
    </w:p>
    <w:p w:rsidR="009C08D9" w:rsidRPr="0044745F" w:rsidRDefault="00A63A09" w:rsidP="009C08D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6"/>
          <w:szCs w:val="36"/>
          <w:lang w:val="uk-UA"/>
        </w:rPr>
        <w:t>Р О З П О Р Я Д Ж Е Н Н Я</w:t>
      </w: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9C08D9" w:rsidRPr="0044745F" w:rsidRDefault="00CC6805" w:rsidP="009C08D9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07.08.2019 № 316-р</w:t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  <w:r w:rsidR="009C08D9">
        <w:rPr>
          <w:sz w:val="28"/>
          <w:szCs w:val="28"/>
          <w:lang w:val="uk-UA"/>
        </w:rPr>
        <w:tab/>
      </w:r>
    </w:p>
    <w:p w:rsidR="009C08D9" w:rsidRDefault="00CC6805" w:rsidP="009C08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м.Чернівці</w:t>
      </w:r>
    </w:p>
    <w:p w:rsidR="005574AC" w:rsidRDefault="005574AC" w:rsidP="009C08D9">
      <w:pPr>
        <w:jc w:val="both"/>
        <w:rPr>
          <w:sz w:val="28"/>
          <w:szCs w:val="28"/>
          <w:lang w:val="uk-UA"/>
        </w:rPr>
      </w:pPr>
    </w:p>
    <w:p w:rsidR="009C08D9" w:rsidRDefault="009C08D9" w:rsidP="009C08D9">
      <w:pPr>
        <w:jc w:val="both"/>
        <w:rPr>
          <w:sz w:val="28"/>
          <w:szCs w:val="28"/>
          <w:lang w:val="uk-UA"/>
        </w:rPr>
      </w:pPr>
    </w:p>
    <w:p w:rsidR="002C6020" w:rsidRPr="003210DE" w:rsidRDefault="00DC3330" w:rsidP="00A63A09">
      <w:pPr>
        <w:jc w:val="both"/>
        <w:rPr>
          <w:b/>
          <w:bCs/>
          <w:noProof w:val="0"/>
          <w:sz w:val="28"/>
          <w:szCs w:val="28"/>
          <w:lang w:val="uk-UA" w:eastAsia="uk-UA"/>
        </w:rPr>
      </w:pPr>
      <w:bookmarkStart w:id="0" w:name="_GoBack"/>
      <w:r w:rsidRPr="003210DE">
        <w:rPr>
          <w:b/>
          <w:bCs/>
          <w:sz w:val="28"/>
          <w:szCs w:val="28"/>
          <w:lang w:val="uk-UA"/>
        </w:rPr>
        <w:t xml:space="preserve">Про </w:t>
      </w:r>
      <w:r w:rsidR="00A63A09" w:rsidRPr="003210DE">
        <w:rPr>
          <w:b/>
          <w:bCs/>
          <w:sz w:val="28"/>
          <w:szCs w:val="28"/>
          <w:lang w:val="uk-UA"/>
        </w:rPr>
        <w:t>порядок використання</w:t>
      </w:r>
      <w:r w:rsidR="00CD7EE8">
        <w:rPr>
          <w:b/>
          <w:bCs/>
          <w:sz w:val="28"/>
          <w:szCs w:val="28"/>
          <w:lang w:val="uk-UA"/>
        </w:rPr>
        <w:t xml:space="preserve"> коштів</w:t>
      </w:r>
      <w:r w:rsidR="00A63A09" w:rsidRPr="003210DE">
        <w:rPr>
          <w:b/>
          <w:bCs/>
          <w:sz w:val="28"/>
          <w:szCs w:val="28"/>
          <w:lang w:val="uk-UA"/>
        </w:rPr>
        <w:t>, які виділяються із міського бюджету управлінню забезпечення медичного обслуговування у сфері</w:t>
      </w:r>
      <w:r w:rsidR="00CD7EE8">
        <w:rPr>
          <w:b/>
          <w:bCs/>
          <w:sz w:val="28"/>
          <w:szCs w:val="28"/>
          <w:lang w:val="uk-UA"/>
        </w:rPr>
        <w:t xml:space="preserve"> охорони здоров'я Чернівецької </w:t>
      </w:r>
      <w:r w:rsidR="00A63A09" w:rsidRPr="003210DE">
        <w:rPr>
          <w:b/>
          <w:bCs/>
          <w:sz w:val="28"/>
          <w:szCs w:val="28"/>
          <w:lang w:val="uk-UA"/>
        </w:rPr>
        <w:t xml:space="preserve">міської ради, </w:t>
      </w:r>
      <w:r w:rsidR="00CD7EE8">
        <w:rPr>
          <w:b/>
          <w:bCs/>
          <w:sz w:val="28"/>
          <w:szCs w:val="28"/>
          <w:lang w:val="uk-UA"/>
        </w:rPr>
        <w:t xml:space="preserve">для здійснення інших виплат населенню </w:t>
      </w:r>
      <w:r w:rsidR="00A63A09" w:rsidRPr="00CD7EE8">
        <w:rPr>
          <w:b/>
          <w:bCs/>
          <w:sz w:val="28"/>
          <w:szCs w:val="28"/>
          <w:lang w:val="uk-UA"/>
        </w:rPr>
        <w:t>та визнання таким, що втратило чинність, розпорядження ві</w:t>
      </w:r>
      <w:r w:rsidR="001420D5">
        <w:rPr>
          <w:b/>
          <w:bCs/>
          <w:sz w:val="28"/>
          <w:szCs w:val="28"/>
          <w:lang w:val="uk-UA"/>
        </w:rPr>
        <w:t>д 12.02.2008 №</w:t>
      </w:r>
      <w:r w:rsidR="00A63A09" w:rsidRPr="00CD7EE8">
        <w:rPr>
          <w:b/>
          <w:bCs/>
          <w:sz w:val="28"/>
          <w:szCs w:val="28"/>
          <w:lang w:val="uk-UA"/>
        </w:rPr>
        <w:t>45-р</w:t>
      </w:r>
    </w:p>
    <w:bookmarkEnd w:id="0"/>
    <w:p w:rsidR="005574AC" w:rsidRDefault="005574AC" w:rsidP="00F97EEC">
      <w:pPr>
        <w:ind w:firstLine="708"/>
        <w:jc w:val="both"/>
        <w:rPr>
          <w:sz w:val="28"/>
          <w:szCs w:val="28"/>
          <w:lang w:val="uk-UA"/>
        </w:rPr>
      </w:pPr>
    </w:p>
    <w:p w:rsidR="001D006E" w:rsidRPr="00CA74B6" w:rsidRDefault="00CA74B6" w:rsidP="00CA74B6">
      <w:pPr>
        <w:ind w:firstLine="708"/>
        <w:jc w:val="both"/>
        <w:rPr>
          <w:sz w:val="28"/>
          <w:szCs w:val="28"/>
          <w:lang w:val="uk-UA"/>
        </w:rPr>
      </w:pPr>
      <w:r w:rsidRPr="00CA74B6">
        <w:rPr>
          <w:sz w:val="28"/>
          <w:szCs w:val="28"/>
          <w:lang w:val="uk-UA"/>
        </w:rPr>
        <w:t>Керуючись статтями 42, 64 Закону України «Про місцеве самоврядування в Україні»,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000000"/>
          <w:sz w:val="28"/>
          <w:szCs w:val="28"/>
          <w:lang w:val="uk-UA"/>
        </w:rPr>
        <w:t>статтями 70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>,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000000"/>
          <w:sz w:val="28"/>
          <w:szCs w:val="28"/>
          <w:lang w:val="uk-UA"/>
        </w:rPr>
        <w:t>91 Бюджетного кодексу України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>,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000000"/>
          <w:sz w:val="28"/>
          <w:szCs w:val="28"/>
          <w:lang w:val="uk-UA"/>
        </w:rPr>
        <w:t>законів України "Про місцеве самоврядування в Україні"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 xml:space="preserve">, 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000000"/>
          <w:sz w:val="28"/>
          <w:szCs w:val="28"/>
          <w:lang w:val="uk-UA"/>
        </w:rPr>
        <w:t>"Про статус ветеранів війни, гарантії їх соціального захисту"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>,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000000"/>
          <w:sz w:val="28"/>
          <w:szCs w:val="28"/>
          <w:lang w:val="uk-UA"/>
        </w:rPr>
        <w:t>"Про основні засади соціального захисту ветеранів праці та інших громадян похилого віку"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>,</w:t>
      </w:r>
      <w:r w:rsidRPr="00CA74B6">
        <w:rPr>
          <w:color w:val="293A55"/>
          <w:sz w:val="28"/>
          <w:szCs w:val="28"/>
          <w:shd w:val="clear" w:color="auto" w:fill="FFFFFF"/>
        </w:rPr>
        <w:t> </w:t>
      </w:r>
      <w:r w:rsidRPr="00CA74B6">
        <w:rPr>
          <w:color w:val="293A55"/>
          <w:sz w:val="28"/>
          <w:szCs w:val="28"/>
          <w:shd w:val="clear" w:color="auto" w:fill="FFFFFF"/>
          <w:lang w:val="uk-UA"/>
        </w:rPr>
        <w:t>«</w:t>
      </w:r>
      <w:r w:rsidRPr="00CA74B6">
        <w:rPr>
          <w:color w:val="000000"/>
          <w:sz w:val="28"/>
          <w:szCs w:val="28"/>
          <w:shd w:val="clear" w:color="auto" w:fill="FFFFFF"/>
          <w:lang w:val="uk-UA"/>
        </w:rPr>
        <w:t>Про статус і соціальний захист громадян, які постраждали внаслідок Чорнобильської катастрофи»,</w:t>
      </w:r>
      <w:r w:rsidR="00CD7EE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A74B6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CA74B6">
        <w:rPr>
          <w:sz w:val="28"/>
          <w:szCs w:val="28"/>
          <w:lang w:val="uk-UA"/>
        </w:rPr>
        <w:t xml:space="preserve">Про соціальний і правовий захист військовослужбовців та членів їх сімей», </w:t>
      </w:r>
      <w:r w:rsidR="00A63A09" w:rsidRPr="00CA74B6">
        <w:rPr>
          <w:sz w:val="28"/>
          <w:szCs w:val="28"/>
          <w:lang w:val="uk-UA"/>
        </w:rPr>
        <w:t>з метою забезпечення зубного протезування</w:t>
      </w:r>
      <w:r w:rsidR="003210DE" w:rsidRPr="00CA74B6">
        <w:rPr>
          <w:sz w:val="28"/>
          <w:szCs w:val="28"/>
          <w:lang w:val="uk-UA"/>
        </w:rPr>
        <w:t xml:space="preserve"> </w:t>
      </w:r>
      <w:r w:rsidR="00A63A09" w:rsidRPr="00CA74B6">
        <w:rPr>
          <w:sz w:val="28"/>
          <w:szCs w:val="28"/>
          <w:lang w:val="uk-UA"/>
        </w:rPr>
        <w:t>пільгових категорій населення міста</w:t>
      </w:r>
      <w:r w:rsidR="00CD7EE8">
        <w:rPr>
          <w:sz w:val="28"/>
          <w:szCs w:val="28"/>
          <w:lang w:val="uk-UA"/>
        </w:rPr>
        <w:t xml:space="preserve"> Чернівців</w:t>
      </w:r>
      <w:r w:rsidR="00A63A09" w:rsidRPr="00CA74B6">
        <w:rPr>
          <w:sz w:val="28"/>
          <w:szCs w:val="28"/>
          <w:lang w:val="uk-UA"/>
        </w:rPr>
        <w:t xml:space="preserve"> та лікування хворих у спеціалізованих медичних закладах інших регіонів України, - </w:t>
      </w:r>
    </w:p>
    <w:p w:rsidR="001D006E" w:rsidRDefault="001D006E" w:rsidP="002C6020">
      <w:pPr>
        <w:jc w:val="center"/>
        <w:rPr>
          <w:b/>
          <w:bCs/>
          <w:sz w:val="28"/>
          <w:szCs w:val="28"/>
          <w:lang w:val="uk-UA"/>
        </w:rPr>
      </w:pPr>
    </w:p>
    <w:p w:rsidR="001D006E" w:rsidRDefault="001D006E" w:rsidP="003210DE">
      <w:pPr>
        <w:tabs>
          <w:tab w:val="left" w:pos="1276"/>
        </w:tabs>
        <w:ind w:firstLine="708"/>
        <w:jc w:val="both"/>
        <w:rPr>
          <w:sz w:val="28"/>
          <w:szCs w:val="28"/>
          <w:lang w:val="uk-UA"/>
        </w:rPr>
      </w:pPr>
      <w:r w:rsidRPr="00344365">
        <w:rPr>
          <w:b/>
          <w:bCs/>
          <w:sz w:val="28"/>
          <w:szCs w:val="28"/>
          <w:lang w:val="uk-UA"/>
        </w:rPr>
        <w:t>1.</w:t>
      </w:r>
      <w:r w:rsidRPr="00344365">
        <w:rPr>
          <w:sz w:val="28"/>
          <w:szCs w:val="28"/>
          <w:lang w:val="uk-UA"/>
        </w:rPr>
        <w:t xml:space="preserve"> </w:t>
      </w:r>
      <w:r w:rsidR="003210DE">
        <w:rPr>
          <w:sz w:val="28"/>
          <w:szCs w:val="28"/>
          <w:lang w:val="uk-UA"/>
        </w:rPr>
        <w:t xml:space="preserve"> </w:t>
      </w:r>
      <w:r w:rsidR="002669E8">
        <w:rPr>
          <w:sz w:val="28"/>
          <w:szCs w:val="28"/>
          <w:lang w:val="uk-UA"/>
        </w:rPr>
        <w:t>Кошти, яка виділяю</w:t>
      </w:r>
      <w:r w:rsidR="00A63A09">
        <w:rPr>
          <w:sz w:val="28"/>
          <w:szCs w:val="28"/>
          <w:lang w:val="uk-UA"/>
        </w:rPr>
        <w:t xml:space="preserve">ться із загального </w:t>
      </w:r>
      <w:r w:rsidR="0011242F">
        <w:rPr>
          <w:sz w:val="28"/>
          <w:szCs w:val="28"/>
          <w:lang w:val="uk-UA"/>
        </w:rPr>
        <w:t xml:space="preserve">та спеціального </w:t>
      </w:r>
      <w:r w:rsidR="00A63A09">
        <w:rPr>
          <w:sz w:val="28"/>
          <w:szCs w:val="28"/>
          <w:lang w:val="uk-UA"/>
        </w:rPr>
        <w:t>фонд</w:t>
      </w:r>
      <w:r w:rsidR="0011242F">
        <w:rPr>
          <w:sz w:val="28"/>
          <w:szCs w:val="28"/>
          <w:lang w:val="uk-UA"/>
        </w:rPr>
        <w:t>ів</w:t>
      </w:r>
      <w:r w:rsidR="00A63A09">
        <w:rPr>
          <w:sz w:val="28"/>
          <w:szCs w:val="28"/>
          <w:lang w:val="uk-UA"/>
        </w:rPr>
        <w:t xml:space="preserve"> міського </w:t>
      </w:r>
      <w:r w:rsidR="00A63A09" w:rsidRPr="00CD7EE8">
        <w:rPr>
          <w:sz w:val="28"/>
          <w:szCs w:val="28"/>
          <w:lang w:val="uk-UA"/>
        </w:rPr>
        <w:t>бюджету головному розпоряднику коштів управлінню забезпечення медичного обслуговування у сфері охорони здоров'я Чернівецької міської ради (КВК 07)</w:t>
      </w:r>
      <w:r w:rsidR="00CD7EE8" w:rsidRPr="00CD7EE8">
        <w:rPr>
          <w:sz w:val="28"/>
          <w:szCs w:val="28"/>
          <w:lang w:val="uk-UA"/>
        </w:rPr>
        <w:t xml:space="preserve"> за програмою</w:t>
      </w:r>
      <w:r w:rsidR="00A63A09" w:rsidRPr="00CD7EE8">
        <w:rPr>
          <w:sz w:val="28"/>
          <w:szCs w:val="28"/>
          <w:lang w:val="uk-UA"/>
        </w:rPr>
        <w:t xml:space="preserve"> КП</w:t>
      </w:r>
      <w:r w:rsidR="002669E8" w:rsidRPr="00CD7EE8">
        <w:rPr>
          <w:sz w:val="28"/>
          <w:szCs w:val="28"/>
          <w:lang w:val="uk-UA"/>
        </w:rPr>
        <w:t>КВ</w:t>
      </w:r>
      <w:r w:rsidR="00A63A09" w:rsidRPr="00CD7EE8">
        <w:rPr>
          <w:sz w:val="28"/>
          <w:szCs w:val="28"/>
          <w:lang w:val="uk-UA"/>
        </w:rPr>
        <w:t xml:space="preserve"> 0712152 «Інші програми та заходи у сфері охорони здоров'я»</w:t>
      </w:r>
      <w:r w:rsidR="002669E8" w:rsidRPr="00CD7EE8">
        <w:rPr>
          <w:sz w:val="28"/>
          <w:szCs w:val="28"/>
          <w:lang w:val="uk-UA"/>
        </w:rPr>
        <w:t xml:space="preserve"> відповідно до кошторису по</w:t>
      </w:r>
      <w:r w:rsidR="00A63A09" w:rsidRPr="00CD7EE8">
        <w:rPr>
          <w:sz w:val="28"/>
          <w:szCs w:val="28"/>
          <w:lang w:val="uk-UA"/>
        </w:rPr>
        <w:t xml:space="preserve"> КЕКВ 2282 </w:t>
      </w:r>
      <w:r w:rsidR="0011242F" w:rsidRPr="00CD7EE8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="0011242F" w:rsidRPr="00CD7EE8">
        <w:rPr>
          <w:color w:val="000000"/>
          <w:sz w:val="28"/>
          <w:szCs w:val="28"/>
          <w:shd w:val="clear" w:color="auto" w:fill="FFFFFF"/>
        </w:rPr>
        <w:t>Окремі заходи по реалізації державних (регіональних) програм, не віднесені до заходів розвитку</w:t>
      </w:r>
      <w:r w:rsidR="0011242F" w:rsidRPr="00CD7EE8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2669E8" w:rsidRPr="00CD7EE8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11242F" w:rsidRPr="00CD7EE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63A09" w:rsidRPr="00CD7EE8">
        <w:rPr>
          <w:sz w:val="28"/>
          <w:szCs w:val="28"/>
          <w:lang w:val="uk-UA"/>
        </w:rPr>
        <w:t>за планом використанння КЕКВ 2730 «</w:t>
      </w:r>
      <w:r w:rsidR="0011242F" w:rsidRPr="00CD7EE8">
        <w:rPr>
          <w:color w:val="000000"/>
          <w:sz w:val="28"/>
          <w:szCs w:val="28"/>
          <w:shd w:val="clear" w:color="auto" w:fill="FFFFFF"/>
        </w:rPr>
        <w:t>Інші виплати населенню</w:t>
      </w:r>
      <w:r w:rsidR="00A63A09" w:rsidRPr="00CD7EE8">
        <w:rPr>
          <w:sz w:val="28"/>
          <w:szCs w:val="28"/>
          <w:lang w:val="uk-UA"/>
        </w:rPr>
        <w:t>»</w:t>
      </w:r>
      <w:r w:rsidR="0011242F" w:rsidRPr="00CD7EE8">
        <w:rPr>
          <w:sz w:val="28"/>
          <w:szCs w:val="28"/>
          <w:lang w:val="uk-UA"/>
        </w:rPr>
        <w:t xml:space="preserve"> спрямувати на:</w:t>
      </w:r>
    </w:p>
    <w:p w:rsidR="0011242F" w:rsidRDefault="0011242F" w:rsidP="001D006E">
      <w:pPr>
        <w:ind w:firstLine="708"/>
        <w:jc w:val="both"/>
        <w:rPr>
          <w:sz w:val="28"/>
          <w:szCs w:val="28"/>
          <w:lang w:val="uk-UA"/>
        </w:rPr>
      </w:pPr>
    </w:p>
    <w:p w:rsidR="0011242F" w:rsidRDefault="0011242F" w:rsidP="003210DE">
      <w:pPr>
        <w:numPr>
          <w:ilvl w:val="1"/>
          <w:numId w:val="1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коштів КМУ «Міська стоматологічна поліклініка» за надані послуги зубопротезування пільговим категоріям населення м.Чернівці</w:t>
      </w:r>
      <w:r w:rsidR="00CD7E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шляхом проплати на спеціальний реєстраційний рахунок поліклініки на підставі договору про виконання зубопротезування пільгових категорій населення та актів виконаних робіт.</w:t>
      </w:r>
    </w:p>
    <w:p w:rsidR="0011242F" w:rsidRDefault="0011242F" w:rsidP="003210DE">
      <w:pPr>
        <w:tabs>
          <w:tab w:val="left" w:pos="1276"/>
        </w:tabs>
        <w:ind w:firstLine="708"/>
        <w:jc w:val="both"/>
        <w:rPr>
          <w:sz w:val="28"/>
          <w:szCs w:val="28"/>
          <w:lang w:val="uk-UA"/>
        </w:rPr>
      </w:pPr>
    </w:p>
    <w:p w:rsidR="0011242F" w:rsidRDefault="0011242F" w:rsidP="003210DE">
      <w:pPr>
        <w:numPr>
          <w:ilvl w:val="1"/>
          <w:numId w:val="1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Проведення розрахунків з міжрегіональними медичними закладами, клініками, центрами за виконані за направленнями управління </w:t>
      </w:r>
      <w:r w:rsidRPr="00344365">
        <w:rPr>
          <w:sz w:val="28"/>
          <w:szCs w:val="28"/>
          <w:lang w:val="uk-UA"/>
        </w:rPr>
        <w:t>забезпечення медичного обслуговування у сфері охорони здоров'я Чернівецької міської ради</w:t>
      </w:r>
      <w:r>
        <w:rPr>
          <w:sz w:val="28"/>
          <w:szCs w:val="28"/>
          <w:lang w:val="uk-UA"/>
        </w:rPr>
        <w:t xml:space="preserve"> операції, лікування, консультації, обстеження, медикаменти, харчування хворих м.</w:t>
      </w:r>
      <w:r w:rsidR="00CA74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Чернівці на підставі укладених договорів, рахунків та актів виконаних робіт.</w:t>
      </w:r>
    </w:p>
    <w:p w:rsidR="0011242F" w:rsidRDefault="0011242F" w:rsidP="003210DE">
      <w:pPr>
        <w:pStyle w:val="a5"/>
        <w:tabs>
          <w:tab w:val="left" w:pos="1276"/>
        </w:tabs>
        <w:ind w:left="0" w:firstLine="708"/>
        <w:rPr>
          <w:sz w:val="28"/>
          <w:szCs w:val="28"/>
          <w:lang w:val="uk-UA"/>
        </w:rPr>
      </w:pPr>
    </w:p>
    <w:p w:rsidR="0011242F" w:rsidRPr="00CD7EE8" w:rsidRDefault="0011242F" w:rsidP="003210DE">
      <w:pPr>
        <w:numPr>
          <w:ilvl w:val="1"/>
          <w:numId w:val="1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 w:rsidRPr="00CD7EE8">
        <w:rPr>
          <w:sz w:val="28"/>
          <w:szCs w:val="28"/>
          <w:lang w:val="uk-UA"/>
        </w:rPr>
        <w:t xml:space="preserve">Здійснення компенсаційних виплат на покриття витрат </w:t>
      </w:r>
      <w:r w:rsidR="0041025E" w:rsidRPr="00CD7EE8">
        <w:rPr>
          <w:sz w:val="28"/>
          <w:szCs w:val="28"/>
          <w:lang w:val="uk-UA"/>
        </w:rPr>
        <w:t xml:space="preserve">на лікування, медикаменти, вироби медичного призначення, а саме: ендопротези, штучні кришталики, стенти, кардіостимулятори тощо, </w:t>
      </w:r>
      <w:r w:rsidRPr="00CD7EE8">
        <w:rPr>
          <w:sz w:val="28"/>
          <w:szCs w:val="28"/>
          <w:lang w:val="uk-UA"/>
        </w:rPr>
        <w:t>хвори</w:t>
      </w:r>
      <w:r w:rsidR="0041025E" w:rsidRPr="00CD7EE8">
        <w:rPr>
          <w:sz w:val="28"/>
          <w:szCs w:val="28"/>
          <w:lang w:val="uk-UA"/>
        </w:rPr>
        <w:t>м</w:t>
      </w:r>
      <w:r w:rsidRPr="00CD7EE8">
        <w:rPr>
          <w:sz w:val="28"/>
          <w:szCs w:val="28"/>
          <w:lang w:val="uk-UA"/>
        </w:rPr>
        <w:t xml:space="preserve"> м.Чернівців</w:t>
      </w:r>
      <w:r w:rsidR="0041025E" w:rsidRPr="00CD7EE8">
        <w:rPr>
          <w:sz w:val="28"/>
          <w:szCs w:val="28"/>
          <w:lang w:val="uk-UA"/>
        </w:rPr>
        <w:t>,</w:t>
      </w:r>
      <w:r w:rsidRPr="00CD7EE8">
        <w:rPr>
          <w:sz w:val="28"/>
          <w:szCs w:val="28"/>
          <w:lang w:val="uk-UA"/>
        </w:rPr>
        <w:t xml:space="preserve"> </w:t>
      </w:r>
      <w:r w:rsidR="0041025E" w:rsidRPr="00CD7EE8">
        <w:rPr>
          <w:sz w:val="28"/>
          <w:szCs w:val="28"/>
          <w:lang w:val="uk-UA"/>
        </w:rPr>
        <w:t>які проліковані в міжрегіональних медичних закладах, клініках, центрах за направленнями управління забезпечення медичного обслуговування у сфері охорони здоров'я Чернівецької міської ради за наявності документів про оплату та підтвердження медичним закладом їх використання при наданні медичної допомоги.</w:t>
      </w:r>
      <w:r w:rsidR="002669E8" w:rsidRPr="00CD7EE8">
        <w:rPr>
          <w:sz w:val="28"/>
          <w:szCs w:val="28"/>
          <w:lang w:val="uk-UA"/>
        </w:rPr>
        <w:t xml:space="preserve"> Компенсація виплачується в межах планових асигнувань.</w:t>
      </w:r>
    </w:p>
    <w:p w:rsidR="0011242F" w:rsidRPr="00CD7EE8" w:rsidRDefault="0011242F" w:rsidP="003210DE">
      <w:pPr>
        <w:pStyle w:val="a5"/>
        <w:tabs>
          <w:tab w:val="left" w:pos="1276"/>
        </w:tabs>
        <w:ind w:left="0" w:firstLine="708"/>
        <w:rPr>
          <w:sz w:val="28"/>
          <w:szCs w:val="28"/>
          <w:lang w:val="uk-UA"/>
        </w:rPr>
      </w:pPr>
    </w:p>
    <w:p w:rsidR="003210DE" w:rsidRPr="00CD7EE8" w:rsidRDefault="0011242F" w:rsidP="003210DE">
      <w:pPr>
        <w:numPr>
          <w:ilvl w:val="1"/>
          <w:numId w:val="1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 w:rsidRPr="00CD7EE8">
        <w:rPr>
          <w:sz w:val="28"/>
          <w:szCs w:val="28"/>
          <w:lang w:val="uk-UA"/>
        </w:rPr>
        <w:t>Здійснення компенсаційних виплат на покриття витрат</w:t>
      </w:r>
      <w:r w:rsidR="003210DE" w:rsidRPr="00CD7EE8">
        <w:rPr>
          <w:sz w:val="28"/>
          <w:szCs w:val="28"/>
          <w:lang w:val="uk-UA"/>
        </w:rPr>
        <w:t xml:space="preserve"> на проїзд малозабезпеченим хворим у разі направлення їх на консультації, обстеження або</w:t>
      </w:r>
      <w:r w:rsidR="003210DE">
        <w:rPr>
          <w:sz w:val="28"/>
          <w:szCs w:val="28"/>
          <w:lang w:val="uk-UA"/>
        </w:rPr>
        <w:t xml:space="preserve"> лікування до міжрегіональних медичних закладів, клінік, центрів за наявності </w:t>
      </w:r>
      <w:r w:rsidR="003210DE" w:rsidRPr="00CD7EE8">
        <w:rPr>
          <w:sz w:val="28"/>
          <w:szCs w:val="28"/>
          <w:lang w:val="uk-UA"/>
        </w:rPr>
        <w:t>документів, які дають право на отримання компенсації за проїзд відповідно до чинного законодавтства, та підтверджуючих проїзних документів.</w:t>
      </w:r>
    </w:p>
    <w:p w:rsidR="003210DE" w:rsidRPr="00CD7EE8" w:rsidRDefault="003210DE" w:rsidP="003210DE">
      <w:pPr>
        <w:pStyle w:val="a5"/>
        <w:tabs>
          <w:tab w:val="left" w:pos="1276"/>
        </w:tabs>
        <w:ind w:left="0" w:firstLine="708"/>
        <w:rPr>
          <w:sz w:val="28"/>
          <w:szCs w:val="28"/>
          <w:lang w:val="uk-UA"/>
        </w:rPr>
      </w:pPr>
    </w:p>
    <w:p w:rsidR="003210DE" w:rsidRPr="00CD7EE8" w:rsidRDefault="003210DE" w:rsidP="003210DE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  <w:lang w:val="uk-UA"/>
        </w:rPr>
      </w:pPr>
      <w:r w:rsidRPr="00CD7EE8">
        <w:rPr>
          <w:sz w:val="28"/>
          <w:szCs w:val="28"/>
          <w:lang w:val="uk-UA"/>
        </w:rPr>
        <w:t>Визначити таким, що втратило чинність, розпорядження Чернівецького міського голови від 12.02.2008 р. № 45-р «Про порядок використання трансфертів населенню, які виділяються із міського бюджету управлінню забезпечення медичного обслуговування у сфері охорони здоров'я Чернівецької  міської ради, та визнання таким, що втратило чинність, розпорядження ві 23.02.2005 р. №60-р».</w:t>
      </w:r>
    </w:p>
    <w:p w:rsidR="003210DE" w:rsidRPr="00CD7EE8" w:rsidRDefault="003210DE" w:rsidP="003210DE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3210DE" w:rsidRPr="00CD7EE8" w:rsidRDefault="003210DE" w:rsidP="003210DE">
      <w:pPr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  <w:lang w:val="uk-UA"/>
        </w:rPr>
      </w:pPr>
      <w:r w:rsidRPr="00CD7EE8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CD7EE8" w:rsidRPr="00CD7EE8">
        <w:rPr>
          <w:sz w:val="28"/>
          <w:szCs w:val="28"/>
          <w:lang w:val="uk-UA"/>
        </w:rPr>
        <w:t>Паскаря О.Є.</w:t>
      </w:r>
    </w:p>
    <w:p w:rsidR="001D006E" w:rsidRPr="00CD7EE8" w:rsidRDefault="001D006E" w:rsidP="003210DE">
      <w:pPr>
        <w:tabs>
          <w:tab w:val="left" w:pos="1276"/>
        </w:tabs>
        <w:ind w:firstLine="708"/>
        <w:jc w:val="both"/>
        <w:rPr>
          <w:sz w:val="28"/>
          <w:szCs w:val="28"/>
          <w:lang w:val="uk-UA"/>
        </w:rPr>
      </w:pPr>
    </w:p>
    <w:p w:rsidR="001D006E" w:rsidRPr="00CD7EE8" w:rsidRDefault="001D006E" w:rsidP="002C6020">
      <w:pPr>
        <w:jc w:val="center"/>
        <w:rPr>
          <w:b/>
          <w:bCs/>
          <w:sz w:val="28"/>
          <w:szCs w:val="28"/>
          <w:lang w:val="uk-UA"/>
        </w:rPr>
      </w:pPr>
    </w:p>
    <w:p w:rsidR="002C6020" w:rsidRPr="00CD7EE8" w:rsidRDefault="002C6020" w:rsidP="002C6020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noProof w:val="0"/>
          <w:sz w:val="28"/>
          <w:szCs w:val="28"/>
          <w:lang w:val="uk-UA" w:eastAsia="uk-UA"/>
        </w:rPr>
      </w:pPr>
    </w:p>
    <w:p w:rsidR="002C6020" w:rsidRPr="003210DE" w:rsidRDefault="003210DE" w:rsidP="003210DE">
      <w:pPr>
        <w:jc w:val="center"/>
        <w:rPr>
          <w:b/>
          <w:bCs/>
          <w:sz w:val="28"/>
          <w:szCs w:val="28"/>
          <w:lang w:val="uk-UA"/>
        </w:rPr>
      </w:pPr>
      <w:r w:rsidRPr="00CD7EE8">
        <w:rPr>
          <w:b/>
          <w:bCs/>
          <w:sz w:val="28"/>
          <w:szCs w:val="28"/>
          <w:lang w:val="uk-UA"/>
        </w:rPr>
        <w:t>Міський голова</w:t>
      </w:r>
      <w:r w:rsidR="007B4BBA" w:rsidRPr="00CD7EE8">
        <w:rPr>
          <w:b/>
          <w:bCs/>
          <w:sz w:val="28"/>
          <w:szCs w:val="28"/>
          <w:lang w:val="uk-UA"/>
        </w:rPr>
        <w:t xml:space="preserve">          </w:t>
      </w:r>
      <w:r w:rsidR="007B4BBA" w:rsidRPr="00CD7EE8">
        <w:rPr>
          <w:b/>
          <w:bCs/>
          <w:sz w:val="28"/>
          <w:szCs w:val="28"/>
          <w:lang w:val="uk-UA"/>
        </w:rPr>
        <w:tab/>
        <w:t xml:space="preserve">          </w:t>
      </w:r>
      <w:r w:rsidR="00D91E04" w:rsidRPr="00CD7EE8">
        <w:rPr>
          <w:b/>
          <w:bCs/>
          <w:sz w:val="28"/>
          <w:szCs w:val="28"/>
          <w:lang w:val="uk-UA"/>
        </w:rPr>
        <w:t xml:space="preserve">            </w:t>
      </w:r>
      <w:r w:rsidR="007B4BBA" w:rsidRPr="00CD7EE8">
        <w:rPr>
          <w:b/>
          <w:bCs/>
          <w:sz w:val="28"/>
          <w:szCs w:val="28"/>
          <w:lang w:val="uk-UA"/>
        </w:rPr>
        <w:t xml:space="preserve"> </w:t>
      </w:r>
      <w:r w:rsidR="007B4BBA" w:rsidRPr="00CD7EE8">
        <w:rPr>
          <w:b/>
          <w:bCs/>
          <w:sz w:val="28"/>
          <w:szCs w:val="28"/>
          <w:lang w:val="uk-UA"/>
        </w:rPr>
        <w:tab/>
        <w:t xml:space="preserve">  </w:t>
      </w:r>
      <w:r w:rsidRPr="00CD7EE8">
        <w:rPr>
          <w:b/>
          <w:bCs/>
          <w:sz w:val="28"/>
          <w:szCs w:val="28"/>
          <w:lang w:val="uk-UA"/>
        </w:rPr>
        <w:t>О.Каспрук</w:t>
      </w:r>
    </w:p>
    <w:p w:rsidR="002C6020" w:rsidRDefault="002C6020" w:rsidP="009C08D9">
      <w:pPr>
        <w:jc w:val="both"/>
        <w:rPr>
          <w:sz w:val="28"/>
          <w:szCs w:val="28"/>
          <w:lang w:val="uk-UA"/>
        </w:rPr>
      </w:pPr>
    </w:p>
    <w:p w:rsidR="00130AFE" w:rsidRPr="001D006E" w:rsidRDefault="00130AFE" w:rsidP="009C08D9">
      <w:pPr>
        <w:jc w:val="both"/>
        <w:rPr>
          <w:lang w:val="uk-UA"/>
        </w:rPr>
      </w:pPr>
    </w:p>
    <w:sectPr w:rsidR="00130AFE" w:rsidRPr="001D006E" w:rsidSect="00CD7EE8">
      <w:pgSz w:w="11906" w:h="16838" w:code="9"/>
      <w:pgMar w:top="1134" w:right="454" w:bottom="141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??Ўм§А?§ЮЎм?-??Ўм§А?§ЮЎм???Ўм§А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6704D"/>
    <w:multiLevelType w:val="multilevel"/>
    <w:tmpl w:val="235C03A6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D9"/>
    <w:rsid w:val="0011242F"/>
    <w:rsid w:val="00130AFE"/>
    <w:rsid w:val="001420D5"/>
    <w:rsid w:val="001D006E"/>
    <w:rsid w:val="002669E8"/>
    <w:rsid w:val="002C6020"/>
    <w:rsid w:val="003210DE"/>
    <w:rsid w:val="0033249D"/>
    <w:rsid w:val="00344365"/>
    <w:rsid w:val="00365824"/>
    <w:rsid w:val="0041025E"/>
    <w:rsid w:val="0044745F"/>
    <w:rsid w:val="005574AC"/>
    <w:rsid w:val="006B272C"/>
    <w:rsid w:val="0070547B"/>
    <w:rsid w:val="007660E3"/>
    <w:rsid w:val="007B4BBA"/>
    <w:rsid w:val="007E05CA"/>
    <w:rsid w:val="00813490"/>
    <w:rsid w:val="008B6533"/>
    <w:rsid w:val="009C08D9"/>
    <w:rsid w:val="00A63A09"/>
    <w:rsid w:val="00B464AE"/>
    <w:rsid w:val="00B60914"/>
    <w:rsid w:val="00C05133"/>
    <w:rsid w:val="00CA74B6"/>
    <w:rsid w:val="00CC6805"/>
    <w:rsid w:val="00CD7EE8"/>
    <w:rsid w:val="00CF1660"/>
    <w:rsid w:val="00D91E04"/>
    <w:rsid w:val="00DB6EB9"/>
    <w:rsid w:val="00DC3330"/>
    <w:rsid w:val="00E54258"/>
    <w:rsid w:val="00E70DC0"/>
    <w:rsid w:val="00F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A8EFFB8-5AE6-416D-B948-C44A9165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8D9"/>
    <w:pPr>
      <w:spacing w:after="0" w:line="240" w:lineRule="auto"/>
    </w:pPr>
    <w:rPr>
      <w:noProof/>
      <w:sz w:val="20"/>
      <w:szCs w:val="20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9C08D9"/>
    <w:pPr>
      <w:jc w:val="center"/>
    </w:pPr>
    <w:rPr>
      <w:rFonts w:ascii="Courier New" w:hAnsi="Courier New" w:cs="Courier New"/>
      <w:b/>
      <w:bCs/>
      <w:sz w:val="32"/>
      <w:szCs w:val="32"/>
    </w:rPr>
  </w:style>
  <w:style w:type="table" w:styleId="a4">
    <w:name w:val="Table Grid"/>
    <w:basedOn w:val="a1"/>
    <w:uiPriority w:val="99"/>
    <w:rsid w:val="001D006E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11242F"/>
    <w:pPr>
      <w:ind w:left="708"/>
    </w:pPr>
  </w:style>
  <w:style w:type="paragraph" w:styleId="HTML">
    <w:name w:val="HTML Preformatted"/>
    <w:basedOn w:val="a"/>
    <w:link w:val="HTML0"/>
    <w:uiPriority w:val="99"/>
    <w:rsid w:val="00CA74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Pr>
      <w:rFonts w:ascii="Courier New" w:hAnsi="Courier New" w:cs="Courier New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45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kompvid2</cp:lastModifiedBy>
  <cp:revision>2</cp:revision>
  <cp:lastPrinted>2019-07-29T09:32:00Z</cp:lastPrinted>
  <dcterms:created xsi:type="dcterms:W3CDTF">2019-08-15T10:54:00Z</dcterms:created>
  <dcterms:modified xsi:type="dcterms:W3CDTF">2019-08-15T10:54:00Z</dcterms:modified>
</cp:coreProperties>
</file>