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4A1" w:rsidRDefault="000F1544" w:rsidP="004F75FB">
      <w:pPr>
        <w:pStyle w:val="Title1"/>
        <w:widowControl/>
        <w:rPr>
          <w:sz w:val="28"/>
        </w:rPr>
      </w:pPr>
      <w:bookmarkStart w:id="0" w:name="_GoBack"/>
      <w:bookmarkEnd w:id="0"/>
      <w:r w:rsidRPr="00E87CB0">
        <w:rPr>
          <w:noProof/>
          <w:lang w:val="en-US" w:eastAsia="en-US"/>
        </w:rPr>
        <w:drawing>
          <wp:inline distT="0" distB="0" distL="0" distR="0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4A1" w:rsidRPr="0001133A" w:rsidRDefault="001E54A1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C6640" w:rsidRPr="00E83DDB" w:rsidRDefault="00CC6640" w:rsidP="00CC6640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CC6640" w:rsidRPr="00CC6640" w:rsidRDefault="00CC6640" w:rsidP="00CC6640">
      <w:pPr>
        <w:pStyle w:val="2"/>
        <w:rPr>
          <w:b/>
          <w:sz w:val="36"/>
        </w:rPr>
      </w:pPr>
      <w:r w:rsidRPr="00CC6640">
        <w:rPr>
          <w:b/>
          <w:sz w:val="36"/>
        </w:rPr>
        <w:t>Виконавчий  комітет</w:t>
      </w:r>
    </w:p>
    <w:p w:rsidR="00CC6640" w:rsidRPr="00CC6640" w:rsidRDefault="00CC6640" w:rsidP="00CC6640">
      <w:pPr>
        <w:pStyle w:val="2"/>
        <w:rPr>
          <w:b/>
          <w:sz w:val="32"/>
          <w:szCs w:val="32"/>
        </w:rPr>
      </w:pPr>
      <w:r w:rsidRPr="00CC6640">
        <w:rPr>
          <w:b/>
          <w:sz w:val="32"/>
          <w:szCs w:val="32"/>
        </w:rPr>
        <w:t>Р  І  Ш  Е  Н  Н  Я</w:t>
      </w:r>
    </w:p>
    <w:p w:rsidR="00CC6640" w:rsidRPr="000B0A36" w:rsidRDefault="00CC6640" w:rsidP="00CC6640">
      <w:pPr>
        <w:rPr>
          <w:sz w:val="16"/>
          <w:szCs w:val="16"/>
          <w:u w:val="single"/>
        </w:rPr>
      </w:pPr>
    </w:p>
    <w:p w:rsidR="00CC6640" w:rsidRPr="00CC6640" w:rsidRDefault="00CC6640" w:rsidP="00CC6640">
      <w:pPr>
        <w:rPr>
          <w:sz w:val="28"/>
          <w:szCs w:val="28"/>
        </w:rPr>
      </w:pPr>
      <w:r w:rsidRPr="00CC6640">
        <w:rPr>
          <w:sz w:val="28"/>
          <w:szCs w:val="28"/>
          <w:u w:val="single"/>
        </w:rPr>
        <w:t xml:space="preserve">           </w:t>
      </w:r>
      <w:r w:rsidRPr="00CC6640">
        <w:rPr>
          <w:sz w:val="28"/>
          <w:szCs w:val="28"/>
          <w:u w:val="single"/>
          <w:lang w:val="ru-RU"/>
        </w:rPr>
        <w:t>20</w:t>
      </w:r>
      <w:r w:rsidRPr="00CC6640">
        <w:rPr>
          <w:sz w:val="28"/>
          <w:szCs w:val="28"/>
          <w:u w:val="single"/>
        </w:rPr>
        <w:t>20</w:t>
      </w:r>
      <w:r w:rsidRPr="00CC6640">
        <w:rPr>
          <w:sz w:val="28"/>
          <w:szCs w:val="28"/>
        </w:rPr>
        <w:t xml:space="preserve">  № </w:t>
      </w:r>
      <w:r w:rsidRPr="00CC6640">
        <w:rPr>
          <w:sz w:val="28"/>
          <w:szCs w:val="28"/>
          <w:u w:val="single"/>
        </w:rPr>
        <w:t xml:space="preserve">        </w:t>
      </w:r>
      <w:r w:rsidRPr="00CC6640">
        <w:rPr>
          <w:sz w:val="28"/>
          <w:szCs w:val="28"/>
          <w:u w:val="single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  <w:t xml:space="preserve">          м. Чернівці</w:t>
      </w:r>
    </w:p>
    <w:p w:rsidR="001E54A1" w:rsidRDefault="001E54A1" w:rsidP="007924CB">
      <w:pPr>
        <w:jc w:val="center"/>
        <w:rPr>
          <w:b/>
          <w:bCs/>
          <w:sz w:val="28"/>
          <w:szCs w:val="28"/>
        </w:rPr>
      </w:pPr>
    </w:p>
    <w:p w:rsidR="001E54A1" w:rsidRPr="00CC6640" w:rsidRDefault="001E54A1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="00CC6640">
        <w:rPr>
          <w:b/>
          <w:bCs/>
          <w:sz w:val="28"/>
          <w:szCs w:val="28"/>
        </w:rPr>
        <w:t>оплату послуг за оцінку та рецензування звітів про оцінку вартості об</w:t>
      </w:r>
      <w:r w:rsidR="00CC6640" w:rsidRPr="00CC6640">
        <w:rPr>
          <w:b/>
          <w:bCs/>
          <w:sz w:val="28"/>
          <w:szCs w:val="28"/>
        </w:rPr>
        <w:t>’єктів комунальної власності м.Чернівців, які підлягають приватизації, та визнання таким</w:t>
      </w:r>
      <w:r w:rsidR="00CC6640">
        <w:rPr>
          <w:b/>
          <w:bCs/>
          <w:sz w:val="28"/>
          <w:szCs w:val="28"/>
        </w:rPr>
        <w:t>и, що втратили чинність пункти рішення виконавчого комітету міської ради від 27.11.2012р. № 750/23</w:t>
      </w:r>
    </w:p>
    <w:p w:rsidR="00CC6640" w:rsidRDefault="00CC6640" w:rsidP="00322C90">
      <w:pPr>
        <w:ind w:firstLine="720"/>
        <w:jc w:val="both"/>
        <w:rPr>
          <w:sz w:val="28"/>
        </w:rPr>
      </w:pPr>
    </w:p>
    <w:p w:rsidR="001E54A1" w:rsidRDefault="001E54A1" w:rsidP="00322C90">
      <w:pPr>
        <w:ind w:firstLine="720"/>
        <w:jc w:val="both"/>
      </w:pPr>
      <w:r w:rsidRPr="001E0FF9">
        <w:rPr>
          <w:sz w:val="28"/>
        </w:rPr>
        <w:t>Відповідно до стат</w:t>
      </w:r>
      <w:r w:rsidR="00CC6640">
        <w:rPr>
          <w:sz w:val="28"/>
        </w:rPr>
        <w:t>ті</w:t>
      </w:r>
      <w:r w:rsidRPr="001E0FF9">
        <w:rPr>
          <w:sz w:val="28"/>
        </w:rPr>
        <w:t xml:space="preserve"> 2</w:t>
      </w:r>
      <w:r w:rsidR="00CC6640">
        <w:rPr>
          <w:sz w:val="28"/>
        </w:rPr>
        <w:t>8</w:t>
      </w:r>
      <w:r w:rsidRPr="001E0FF9">
        <w:rPr>
          <w:sz w:val="28"/>
        </w:rPr>
        <w:t xml:space="preserve">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</w:t>
      </w:r>
      <w:r w:rsidR="00CC6640">
        <w:rPr>
          <w:sz w:val="28"/>
          <w:szCs w:val="28"/>
        </w:rPr>
        <w:t xml:space="preserve">ей 11, </w:t>
      </w:r>
      <w:r>
        <w:rPr>
          <w:sz w:val="28"/>
          <w:szCs w:val="28"/>
        </w:rPr>
        <w:t>12</w:t>
      </w:r>
      <w:r w:rsidR="00CC6640">
        <w:rPr>
          <w:sz w:val="28"/>
          <w:szCs w:val="28"/>
        </w:rPr>
        <w:t>, 13</w:t>
      </w:r>
      <w:r>
        <w:rPr>
          <w:sz w:val="28"/>
          <w:szCs w:val="28"/>
        </w:rPr>
        <w:t xml:space="preserve"> Закону України «</w:t>
      </w:r>
      <w:r w:rsidR="00CC6640" w:rsidRPr="00CC6640">
        <w:rPr>
          <w:bCs/>
          <w:color w:val="000000"/>
          <w:sz w:val="28"/>
          <w:szCs w:val="28"/>
          <w:shd w:val="clear" w:color="auto" w:fill="FFFFFF"/>
        </w:rPr>
        <w:t>Про оцінку майна, майнових прав та професійну оціночну діяльність в Україні</w:t>
      </w:r>
      <w:r w:rsidR="00CC6640">
        <w:rPr>
          <w:bCs/>
          <w:color w:val="000000"/>
          <w:sz w:val="28"/>
          <w:szCs w:val="28"/>
          <w:shd w:val="clear" w:color="auto" w:fill="FFFFFF"/>
        </w:rPr>
        <w:t>»</w:t>
      </w:r>
      <w:r w:rsidR="001C5720">
        <w:rPr>
          <w:bCs/>
          <w:color w:val="000000"/>
          <w:sz w:val="28"/>
          <w:szCs w:val="28"/>
          <w:shd w:val="clear" w:color="auto" w:fill="FFFFFF"/>
        </w:rPr>
        <w:t>, враховуючи протокол від 10.01.2020р. № 1/О комісії з конкурсного відбору суб</w:t>
      </w:r>
      <w:r w:rsidR="001C5720" w:rsidRPr="001C5720">
        <w:rPr>
          <w:bCs/>
          <w:color w:val="000000"/>
          <w:sz w:val="28"/>
          <w:szCs w:val="28"/>
          <w:shd w:val="clear" w:color="auto" w:fill="FFFFFF"/>
        </w:rPr>
        <w:t>’</w:t>
      </w:r>
      <w:r w:rsidR="001C5720">
        <w:rPr>
          <w:bCs/>
          <w:color w:val="000000"/>
          <w:sz w:val="28"/>
          <w:szCs w:val="28"/>
          <w:shd w:val="clear" w:color="auto" w:fill="FFFFFF"/>
        </w:rPr>
        <w:t>єктів оціночної діяльності та погодження звітів про незалежну оцінку комунального майна територіальної громади м.Чернівців, з метою впорядкування цін на проведення робіт по оцінці та рецензуванню звітів про оцінку об</w:t>
      </w:r>
      <w:r w:rsidR="001C5720" w:rsidRPr="001C5720">
        <w:rPr>
          <w:bCs/>
          <w:color w:val="000000"/>
          <w:sz w:val="28"/>
          <w:szCs w:val="28"/>
          <w:shd w:val="clear" w:color="auto" w:fill="FFFFFF"/>
        </w:rPr>
        <w:t>’</w:t>
      </w:r>
      <w:r w:rsidR="001C5720">
        <w:rPr>
          <w:bCs/>
          <w:color w:val="000000"/>
          <w:sz w:val="28"/>
          <w:szCs w:val="28"/>
          <w:shd w:val="clear" w:color="auto" w:fill="FFFFFF"/>
        </w:rPr>
        <w:t xml:space="preserve">єктів комунальної власності міста, які підлягають приватизації, виконавчий комітет </w:t>
      </w:r>
      <w:r w:rsidRPr="005F1AB1">
        <w:rPr>
          <w:sz w:val="28"/>
          <w:szCs w:val="28"/>
        </w:rPr>
        <w:t>Чернівецьк</w:t>
      </w:r>
      <w:r w:rsidR="00F62C65">
        <w:rPr>
          <w:sz w:val="28"/>
          <w:szCs w:val="28"/>
        </w:rPr>
        <w:t>ої</w:t>
      </w:r>
      <w:r w:rsidRPr="005F1AB1">
        <w:rPr>
          <w:sz w:val="28"/>
          <w:szCs w:val="28"/>
        </w:rPr>
        <w:t xml:space="preserve"> міськ</w:t>
      </w:r>
      <w:r w:rsidR="00F62C65">
        <w:rPr>
          <w:sz w:val="28"/>
          <w:szCs w:val="28"/>
        </w:rPr>
        <w:t>ої</w:t>
      </w:r>
      <w:r w:rsidRPr="005F1AB1">
        <w:rPr>
          <w:sz w:val="28"/>
          <w:szCs w:val="28"/>
        </w:rPr>
        <w:t xml:space="preserve"> рад</w:t>
      </w:r>
      <w:r w:rsidR="00F62C65">
        <w:rPr>
          <w:sz w:val="28"/>
          <w:szCs w:val="28"/>
        </w:rPr>
        <w:t>и</w:t>
      </w:r>
    </w:p>
    <w:p w:rsidR="001E54A1" w:rsidRDefault="001E54A1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1E54A1" w:rsidRPr="00661EC4" w:rsidRDefault="001E54A1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 xml:space="preserve">В И Р І Ш И </w:t>
      </w:r>
      <w:r w:rsidR="001C5720">
        <w:rPr>
          <w:b/>
          <w:sz w:val="28"/>
        </w:rPr>
        <w:t>В</w:t>
      </w:r>
      <w:r w:rsidRPr="00661EC4">
        <w:rPr>
          <w:b/>
          <w:sz w:val="28"/>
        </w:rPr>
        <w:t xml:space="preserve"> :</w:t>
      </w:r>
    </w:p>
    <w:p w:rsidR="001E54A1" w:rsidRPr="00321718" w:rsidRDefault="001E54A1" w:rsidP="00322C90">
      <w:pPr>
        <w:jc w:val="both"/>
        <w:rPr>
          <w:sz w:val="16"/>
          <w:szCs w:val="16"/>
        </w:rPr>
      </w:pPr>
    </w:p>
    <w:p w:rsidR="006E516D" w:rsidRDefault="001E54A1" w:rsidP="006E516D">
      <w:pPr>
        <w:ind w:firstLine="720"/>
        <w:jc w:val="both"/>
        <w:rPr>
          <w:color w:val="000000"/>
          <w:sz w:val="28"/>
          <w:szCs w:val="28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</w:t>
      </w:r>
      <w:r w:rsidR="006E516D">
        <w:rPr>
          <w:color w:val="000000"/>
          <w:sz w:val="28"/>
          <w:szCs w:val="28"/>
        </w:rPr>
        <w:t>Дозволити департаменту розвитку міської ради проводити оплату послуг суб</w:t>
      </w:r>
      <w:r w:rsidR="006E516D" w:rsidRPr="006E516D">
        <w:rPr>
          <w:color w:val="000000"/>
          <w:sz w:val="28"/>
          <w:szCs w:val="28"/>
        </w:rPr>
        <w:t>’</w:t>
      </w:r>
      <w:r w:rsidR="006E516D">
        <w:rPr>
          <w:color w:val="000000"/>
          <w:sz w:val="28"/>
          <w:szCs w:val="28"/>
        </w:rPr>
        <w:t>єктів оціночної діяльності: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1E54A1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 w:rsidRPr="006E516D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За оцінку вартості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єктів нерухомого майна комунальної власності м.Чернівців, які не містять невід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ємних поліпшень та підлягають приватизації, в межах: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1.1.1.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до 100 кв.м – 1500,0грн.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1.1.2.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більше 100 кв.м – 1800,0грн.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 w:rsidRPr="006E516D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2</w:t>
      </w:r>
      <w:r w:rsidRPr="006E516D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За оцінку вартості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єктів нерухомого майна комунальної власності м.Чернівців, які містять невід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ємні поліпшення та підлягають приватизації, в межах: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1.2.1.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до 100 кв.м – 2000,0грн.</w:t>
      </w:r>
    </w:p>
    <w:p w:rsidR="006E516D" w:rsidRP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1.2.2.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більше 100 кв.м – 2300,0грн.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 w:rsidRPr="006E516D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3</w:t>
      </w:r>
      <w:r w:rsidRPr="006E516D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За оцінку земельних ділянок</w:t>
      </w:r>
      <w:r w:rsidR="007A5E24">
        <w:rPr>
          <w:color w:val="000000"/>
          <w:sz w:val="28"/>
          <w:szCs w:val="28"/>
        </w:rPr>
        <w:t xml:space="preserve"> до 10000кв.м</w:t>
      </w:r>
      <w:r>
        <w:rPr>
          <w:color w:val="000000"/>
          <w:sz w:val="28"/>
          <w:szCs w:val="28"/>
        </w:rPr>
        <w:t>, на яких розташовані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єкти нерухомого майна комунальної власності м.Чернівців, які підлягають приватизації, в </w:t>
      </w:r>
      <w:r w:rsidR="007A5E24">
        <w:rPr>
          <w:color w:val="000000"/>
          <w:sz w:val="28"/>
          <w:szCs w:val="28"/>
        </w:rPr>
        <w:t>сумі – 2500,0грн.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6E516D" w:rsidRPr="007A5E24" w:rsidRDefault="007A5E24" w:rsidP="006E516D">
      <w:pPr>
        <w:ind w:firstLine="720"/>
        <w:jc w:val="both"/>
        <w:rPr>
          <w:color w:val="000000"/>
          <w:sz w:val="28"/>
          <w:szCs w:val="28"/>
        </w:rPr>
      </w:pPr>
      <w:r w:rsidRPr="007A5E24">
        <w:rPr>
          <w:b/>
          <w:color w:val="000000"/>
          <w:sz w:val="28"/>
          <w:szCs w:val="28"/>
        </w:rPr>
        <w:t xml:space="preserve">1.4. </w:t>
      </w:r>
      <w:r>
        <w:rPr>
          <w:color w:val="000000"/>
          <w:sz w:val="28"/>
          <w:szCs w:val="28"/>
        </w:rPr>
        <w:t>За рецензування звітів про оцінку</w:t>
      </w:r>
      <w:r w:rsidR="00F62C65">
        <w:rPr>
          <w:color w:val="000000"/>
          <w:sz w:val="28"/>
          <w:szCs w:val="28"/>
        </w:rPr>
        <w:t xml:space="preserve"> вартості</w:t>
      </w:r>
      <w:r>
        <w:rPr>
          <w:color w:val="000000"/>
          <w:sz w:val="28"/>
          <w:szCs w:val="28"/>
        </w:rPr>
        <w:t xml:space="preserve">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єктів нерухомого майна комунальної власності м.Чернівців, які підлягають приватизації, в сумі 500,0грн.</w:t>
      </w:r>
      <w:r w:rsidRPr="007A5E24">
        <w:rPr>
          <w:color w:val="000000"/>
          <w:sz w:val="28"/>
          <w:szCs w:val="28"/>
        </w:rPr>
        <w:t xml:space="preserve">  </w:t>
      </w:r>
    </w:p>
    <w:p w:rsidR="006E516D" w:rsidRPr="009A4955" w:rsidRDefault="006E516D" w:rsidP="006E516D">
      <w:pPr>
        <w:ind w:firstLine="720"/>
        <w:jc w:val="both"/>
        <w:rPr>
          <w:sz w:val="16"/>
          <w:szCs w:val="16"/>
        </w:rPr>
      </w:pPr>
    </w:p>
    <w:p w:rsidR="00E74F8B" w:rsidRPr="00E74F8B" w:rsidRDefault="001E54A1" w:rsidP="00E74F8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</w:t>
      </w:r>
      <w:r w:rsidR="007A5E24">
        <w:rPr>
          <w:sz w:val="28"/>
          <w:szCs w:val="28"/>
        </w:rPr>
        <w:t>и</w:t>
      </w:r>
      <w:r w:rsidRPr="000D5507">
        <w:rPr>
          <w:sz w:val="28"/>
          <w:szCs w:val="28"/>
        </w:rPr>
        <w:t>, що втратил</w:t>
      </w:r>
      <w:r w:rsidR="007A5E24">
        <w:rPr>
          <w:sz w:val="28"/>
          <w:szCs w:val="28"/>
        </w:rPr>
        <w:t>и</w:t>
      </w:r>
      <w:r w:rsidRPr="000D5507">
        <w:rPr>
          <w:sz w:val="28"/>
          <w:szCs w:val="28"/>
        </w:rPr>
        <w:t xml:space="preserve">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</w:t>
      </w:r>
      <w:r w:rsidR="006848B1">
        <w:rPr>
          <w:sz w:val="28"/>
          <w:szCs w:val="28"/>
        </w:rPr>
        <w:t xml:space="preserve">пункти 1 (з підпунктами), 2, 4 </w:t>
      </w:r>
      <w:r w:rsidRPr="000D5507">
        <w:rPr>
          <w:sz w:val="28"/>
          <w:szCs w:val="28"/>
        </w:rPr>
        <w:t xml:space="preserve">рішення </w:t>
      </w:r>
      <w:r w:rsidR="006848B1">
        <w:rPr>
          <w:sz w:val="28"/>
          <w:szCs w:val="28"/>
        </w:rPr>
        <w:t xml:space="preserve">виконавчого комітету </w:t>
      </w:r>
      <w:r w:rsidRPr="000D5507">
        <w:rPr>
          <w:sz w:val="28"/>
          <w:szCs w:val="28"/>
        </w:rPr>
        <w:t>міської ради</w:t>
      </w:r>
      <w:r w:rsidRPr="00DF14AB">
        <w:rPr>
          <w:sz w:val="30"/>
          <w:szCs w:val="30"/>
        </w:rPr>
        <w:t xml:space="preserve"> </w:t>
      </w:r>
      <w:r w:rsidRPr="00D814B0">
        <w:rPr>
          <w:b/>
          <w:sz w:val="28"/>
          <w:szCs w:val="28"/>
        </w:rPr>
        <w:t xml:space="preserve">від </w:t>
      </w:r>
      <w:r w:rsidR="00E74F8B">
        <w:rPr>
          <w:b/>
          <w:sz w:val="28"/>
          <w:szCs w:val="28"/>
        </w:rPr>
        <w:t>27</w:t>
      </w:r>
      <w:r w:rsidRPr="00D814B0">
        <w:rPr>
          <w:b/>
          <w:sz w:val="28"/>
          <w:szCs w:val="28"/>
        </w:rPr>
        <w:t>.</w:t>
      </w:r>
      <w:r w:rsidR="00E74F8B">
        <w:rPr>
          <w:b/>
          <w:sz w:val="28"/>
          <w:szCs w:val="28"/>
        </w:rPr>
        <w:t>11</w:t>
      </w:r>
      <w:r w:rsidRPr="00D814B0">
        <w:rPr>
          <w:b/>
          <w:sz w:val="28"/>
          <w:szCs w:val="28"/>
        </w:rPr>
        <w:t>.201</w:t>
      </w:r>
      <w:r w:rsidR="00E74F8B">
        <w:rPr>
          <w:b/>
          <w:sz w:val="28"/>
          <w:szCs w:val="28"/>
        </w:rPr>
        <w:t>2</w:t>
      </w:r>
      <w:r w:rsidRPr="00D814B0">
        <w:rPr>
          <w:b/>
          <w:sz w:val="28"/>
          <w:szCs w:val="28"/>
        </w:rPr>
        <w:t>р. №</w:t>
      </w:r>
      <w:r w:rsidR="00E74F8B">
        <w:rPr>
          <w:b/>
          <w:sz w:val="28"/>
          <w:szCs w:val="28"/>
        </w:rPr>
        <w:t>750/23</w:t>
      </w:r>
      <w:r w:rsidRPr="000D5507">
        <w:rPr>
          <w:sz w:val="28"/>
          <w:szCs w:val="28"/>
        </w:rPr>
        <w:t xml:space="preserve"> «Про </w:t>
      </w:r>
      <w:r w:rsidR="00E74F8B">
        <w:rPr>
          <w:sz w:val="28"/>
          <w:szCs w:val="28"/>
        </w:rPr>
        <w:t xml:space="preserve">оплату послуг за </w:t>
      </w:r>
      <w:r w:rsidR="00E74F8B" w:rsidRPr="00E74F8B">
        <w:rPr>
          <w:bCs/>
          <w:sz w:val="28"/>
          <w:szCs w:val="28"/>
        </w:rPr>
        <w:t>оцінку та рецензування звітів про оцінку вартості об’єктів комунальної власності м.Чернівців, які підлягають приватизації, та визнання таким, що втратил</w:t>
      </w:r>
      <w:r w:rsidR="00E74F8B">
        <w:rPr>
          <w:bCs/>
          <w:sz w:val="28"/>
          <w:szCs w:val="28"/>
        </w:rPr>
        <w:t>о</w:t>
      </w:r>
      <w:r w:rsidR="00E74F8B" w:rsidRPr="00E74F8B">
        <w:rPr>
          <w:bCs/>
          <w:sz w:val="28"/>
          <w:szCs w:val="28"/>
        </w:rPr>
        <w:t xml:space="preserve"> чинність рішення виконавчого комітету міської ради від </w:t>
      </w:r>
      <w:r w:rsidR="00E74F8B">
        <w:rPr>
          <w:bCs/>
          <w:sz w:val="28"/>
          <w:szCs w:val="28"/>
        </w:rPr>
        <w:t>26</w:t>
      </w:r>
      <w:r w:rsidR="00E74F8B" w:rsidRPr="00E74F8B">
        <w:rPr>
          <w:bCs/>
          <w:sz w:val="28"/>
          <w:szCs w:val="28"/>
        </w:rPr>
        <w:t>.</w:t>
      </w:r>
      <w:r w:rsidR="00E74F8B">
        <w:rPr>
          <w:bCs/>
          <w:sz w:val="28"/>
          <w:szCs w:val="28"/>
        </w:rPr>
        <w:t>02</w:t>
      </w:r>
      <w:r w:rsidR="00E74F8B" w:rsidRPr="00E74F8B">
        <w:rPr>
          <w:bCs/>
          <w:sz w:val="28"/>
          <w:szCs w:val="28"/>
        </w:rPr>
        <w:t>.20</w:t>
      </w:r>
      <w:r w:rsidR="00E74F8B">
        <w:rPr>
          <w:bCs/>
          <w:sz w:val="28"/>
          <w:szCs w:val="28"/>
        </w:rPr>
        <w:t>07</w:t>
      </w:r>
      <w:r w:rsidR="00E74F8B" w:rsidRPr="00E74F8B">
        <w:rPr>
          <w:bCs/>
          <w:sz w:val="28"/>
          <w:szCs w:val="28"/>
        </w:rPr>
        <w:t xml:space="preserve">р. № </w:t>
      </w:r>
      <w:r w:rsidR="00E74F8B">
        <w:rPr>
          <w:bCs/>
          <w:sz w:val="28"/>
          <w:szCs w:val="28"/>
        </w:rPr>
        <w:t>127/3».</w:t>
      </w:r>
    </w:p>
    <w:p w:rsidR="00E74F8B" w:rsidRDefault="00E74F8B" w:rsidP="006E516D">
      <w:pPr>
        <w:pStyle w:val="ListParagraph"/>
        <w:ind w:left="0" w:firstLine="709"/>
        <w:jc w:val="both"/>
        <w:rPr>
          <w:b/>
          <w:sz w:val="28"/>
          <w:szCs w:val="28"/>
        </w:rPr>
      </w:pPr>
    </w:p>
    <w:p w:rsidR="00E74F8B" w:rsidRPr="000B0A36" w:rsidRDefault="00AA6E57" w:rsidP="00AA6E57">
      <w:pPr>
        <w:pStyle w:val="a5"/>
        <w:tabs>
          <w:tab w:val="left" w:pos="0"/>
          <w:tab w:val="left" w:pos="700"/>
        </w:tabs>
        <w:ind w:left="0" w:right="-28" w:firstLine="709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E74F8B" w:rsidRPr="000B0A36">
        <w:rPr>
          <w:b/>
          <w:sz w:val="27"/>
          <w:szCs w:val="27"/>
        </w:rPr>
        <w:t xml:space="preserve">. </w:t>
      </w:r>
      <w:r w:rsidR="00E74F8B" w:rsidRPr="000B0A36">
        <w:rPr>
          <w:sz w:val="27"/>
          <w:szCs w:val="27"/>
        </w:rPr>
        <w:t>Рішення набирає чинності з дня його оприлюднення на офіційному вебпорталі Чернівецької міської ради.</w:t>
      </w:r>
    </w:p>
    <w:p w:rsidR="00E74F8B" w:rsidRPr="00B47BA2" w:rsidRDefault="00E74F8B" w:rsidP="00E74F8B">
      <w:pPr>
        <w:pStyle w:val="a5"/>
        <w:tabs>
          <w:tab w:val="left" w:pos="0"/>
          <w:tab w:val="left" w:pos="700"/>
        </w:tabs>
        <w:ind w:left="0" w:right="-28"/>
        <w:rPr>
          <w:b/>
          <w:sz w:val="20"/>
        </w:rPr>
      </w:pPr>
      <w:r w:rsidRPr="00B47BA2">
        <w:rPr>
          <w:b/>
          <w:sz w:val="20"/>
        </w:rPr>
        <w:tab/>
      </w:r>
    </w:p>
    <w:p w:rsidR="00E74F8B" w:rsidRPr="000B0A36" w:rsidRDefault="00AA6E57" w:rsidP="00AA6E57">
      <w:pPr>
        <w:pStyle w:val="a5"/>
        <w:tabs>
          <w:tab w:val="left" w:pos="0"/>
          <w:tab w:val="left" w:pos="700"/>
        </w:tabs>
        <w:ind w:left="0" w:right="-28" w:firstLine="709"/>
        <w:rPr>
          <w:sz w:val="27"/>
          <w:szCs w:val="27"/>
        </w:rPr>
      </w:pPr>
      <w:r>
        <w:rPr>
          <w:b/>
          <w:sz w:val="27"/>
          <w:szCs w:val="27"/>
        </w:rPr>
        <w:t>4</w:t>
      </w:r>
      <w:r w:rsidR="00E74F8B" w:rsidRPr="000B0A36">
        <w:rPr>
          <w:b/>
          <w:sz w:val="27"/>
          <w:szCs w:val="27"/>
        </w:rPr>
        <w:t>.</w:t>
      </w:r>
      <w:r w:rsidR="00E74F8B" w:rsidRPr="000B0A36">
        <w:rPr>
          <w:sz w:val="27"/>
          <w:szCs w:val="27"/>
        </w:rPr>
        <w:t xml:space="preserve"> Контроль за виконанням рішення покласти на директор</w:t>
      </w:r>
      <w:r w:rsidR="00E74F8B">
        <w:rPr>
          <w:sz w:val="27"/>
          <w:szCs w:val="27"/>
        </w:rPr>
        <w:t>а</w:t>
      </w:r>
      <w:r w:rsidR="00E74F8B" w:rsidRPr="000B0A36">
        <w:rPr>
          <w:sz w:val="27"/>
          <w:szCs w:val="27"/>
        </w:rPr>
        <w:t xml:space="preserve"> департамент</w:t>
      </w:r>
      <w:r w:rsidR="00E74F8B">
        <w:rPr>
          <w:sz w:val="27"/>
          <w:szCs w:val="27"/>
        </w:rPr>
        <w:t>у</w:t>
      </w:r>
      <w:r w:rsidR="00E74F8B" w:rsidRPr="000B0A3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розвитку </w:t>
      </w:r>
      <w:r w:rsidR="00E74F8B" w:rsidRPr="000B0A36">
        <w:rPr>
          <w:sz w:val="27"/>
          <w:szCs w:val="27"/>
        </w:rPr>
        <w:t>міської ради</w:t>
      </w:r>
      <w:r>
        <w:rPr>
          <w:sz w:val="27"/>
          <w:szCs w:val="27"/>
        </w:rPr>
        <w:t>.</w:t>
      </w:r>
    </w:p>
    <w:p w:rsidR="001E54A1" w:rsidRPr="00297533" w:rsidRDefault="001E54A1" w:rsidP="009A4955">
      <w:pPr>
        <w:spacing w:after="120"/>
        <w:ind w:firstLine="993"/>
        <w:jc w:val="both"/>
        <w:rPr>
          <w:sz w:val="16"/>
          <w:szCs w:val="16"/>
        </w:rPr>
      </w:pPr>
    </w:p>
    <w:p w:rsidR="001E54A1" w:rsidRDefault="001E54A1" w:rsidP="009A4955">
      <w:pPr>
        <w:ind w:firstLine="993"/>
        <w:jc w:val="both"/>
        <w:rPr>
          <w:sz w:val="28"/>
          <w:szCs w:val="28"/>
        </w:rPr>
      </w:pPr>
    </w:p>
    <w:p w:rsidR="00AA6E57" w:rsidRDefault="00AA6E57" w:rsidP="009A4955">
      <w:pPr>
        <w:ind w:firstLine="993"/>
        <w:jc w:val="both"/>
        <w:rPr>
          <w:sz w:val="28"/>
          <w:szCs w:val="28"/>
        </w:rPr>
      </w:pPr>
    </w:p>
    <w:p w:rsidR="00AA6E57" w:rsidRPr="00202293" w:rsidRDefault="00AA6E57" w:rsidP="009A4955">
      <w:pPr>
        <w:ind w:firstLine="993"/>
        <w:jc w:val="both"/>
        <w:rPr>
          <w:sz w:val="28"/>
          <w:szCs w:val="28"/>
        </w:rPr>
      </w:pPr>
    </w:p>
    <w:p w:rsidR="001E54A1" w:rsidRPr="009147B9" w:rsidRDefault="001E54A1" w:rsidP="00322C90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О.Каспрук</w:t>
      </w:r>
    </w:p>
    <w:p w:rsidR="001E54A1" w:rsidRDefault="001E54A1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AA6E57" w:rsidRDefault="00AA6E57" w:rsidP="009147B9">
      <w:pPr>
        <w:ind w:right="-87"/>
        <w:jc w:val="both"/>
        <w:rPr>
          <w:b/>
          <w:sz w:val="24"/>
          <w:lang w:val="ru-RU"/>
        </w:rPr>
      </w:pPr>
    </w:p>
    <w:p w:rsidR="001E54A1" w:rsidRPr="00202293" w:rsidRDefault="001E54A1" w:rsidP="007924CB">
      <w:pPr>
        <w:ind w:right="-87"/>
        <w:jc w:val="both"/>
        <w:rPr>
          <w:b/>
          <w:sz w:val="28"/>
          <w:szCs w:val="28"/>
        </w:rPr>
      </w:pPr>
    </w:p>
    <w:sectPr w:rsidR="001E54A1" w:rsidRPr="00202293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12A" w:rsidRDefault="0070112A">
      <w:r>
        <w:separator/>
      </w:r>
    </w:p>
  </w:endnote>
  <w:endnote w:type="continuationSeparator" w:id="0">
    <w:p w:rsidR="0070112A" w:rsidRDefault="0070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12A" w:rsidRDefault="0070112A">
      <w:r>
        <w:separator/>
      </w:r>
    </w:p>
  </w:footnote>
  <w:footnote w:type="continuationSeparator" w:id="0">
    <w:p w:rsidR="0070112A" w:rsidRDefault="00701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71D" w:rsidRDefault="0031371D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1371D" w:rsidRDefault="0031371D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71D" w:rsidRDefault="0031371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1544">
      <w:rPr>
        <w:noProof/>
      </w:rPr>
      <w:t>2</w:t>
    </w:r>
    <w:r>
      <w:fldChar w:fldCharType="end"/>
    </w:r>
  </w:p>
  <w:p w:rsidR="0031371D" w:rsidRDefault="0031371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 w15:restartNumberingAfterBreak="0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7A78"/>
    <w:rsid w:val="00047A83"/>
    <w:rsid w:val="00047C4A"/>
    <w:rsid w:val="00056034"/>
    <w:rsid w:val="0006479B"/>
    <w:rsid w:val="0006674D"/>
    <w:rsid w:val="00067598"/>
    <w:rsid w:val="00070689"/>
    <w:rsid w:val="000B0E44"/>
    <w:rsid w:val="000B3493"/>
    <w:rsid w:val="000C165F"/>
    <w:rsid w:val="000C5643"/>
    <w:rsid w:val="000D2095"/>
    <w:rsid w:val="000D5507"/>
    <w:rsid w:val="000F1544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5720"/>
    <w:rsid w:val="001C7CA3"/>
    <w:rsid w:val="001D18F5"/>
    <w:rsid w:val="001D3225"/>
    <w:rsid w:val="001D58FE"/>
    <w:rsid w:val="001D658A"/>
    <w:rsid w:val="001D7CEB"/>
    <w:rsid w:val="001E0FF9"/>
    <w:rsid w:val="001E351A"/>
    <w:rsid w:val="001E54A1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84422"/>
    <w:rsid w:val="00287C18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1371D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C6FC1"/>
    <w:rsid w:val="004E7DF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219B"/>
    <w:rsid w:val="00545C32"/>
    <w:rsid w:val="005543A5"/>
    <w:rsid w:val="00555316"/>
    <w:rsid w:val="0056241C"/>
    <w:rsid w:val="00571D33"/>
    <w:rsid w:val="0057779C"/>
    <w:rsid w:val="00581106"/>
    <w:rsid w:val="00592644"/>
    <w:rsid w:val="005A2EC6"/>
    <w:rsid w:val="005A5551"/>
    <w:rsid w:val="005B26FE"/>
    <w:rsid w:val="005B3072"/>
    <w:rsid w:val="005D6220"/>
    <w:rsid w:val="005F1AB1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84688"/>
    <w:rsid w:val="006848B1"/>
    <w:rsid w:val="0069036C"/>
    <w:rsid w:val="00692B44"/>
    <w:rsid w:val="00693FCD"/>
    <w:rsid w:val="006A5615"/>
    <w:rsid w:val="006A69F1"/>
    <w:rsid w:val="006B0BB8"/>
    <w:rsid w:val="006B7704"/>
    <w:rsid w:val="006D019A"/>
    <w:rsid w:val="006E516D"/>
    <w:rsid w:val="006F09EC"/>
    <w:rsid w:val="006F4731"/>
    <w:rsid w:val="006F553D"/>
    <w:rsid w:val="0070112A"/>
    <w:rsid w:val="00701726"/>
    <w:rsid w:val="007253AF"/>
    <w:rsid w:val="00734D7A"/>
    <w:rsid w:val="0074020D"/>
    <w:rsid w:val="0074222A"/>
    <w:rsid w:val="00745E4C"/>
    <w:rsid w:val="007515D0"/>
    <w:rsid w:val="00765179"/>
    <w:rsid w:val="0078091C"/>
    <w:rsid w:val="0078587A"/>
    <w:rsid w:val="00786632"/>
    <w:rsid w:val="007924CB"/>
    <w:rsid w:val="007928D4"/>
    <w:rsid w:val="00795202"/>
    <w:rsid w:val="007A547E"/>
    <w:rsid w:val="007A5E24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372E9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F172F"/>
    <w:rsid w:val="008F5CDC"/>
    <w:rsid w:val="008F6638"/>
    <w:rsid w:val="009014AB"/>
    <w:rsid w:val="009020A6"/>
    <w:rsid w:val="00907B54"/>
    <w:rsid w:val="009147B9"/>
    <w:rsid w:val="00922FE0"/>
    <w:rsid w:val="00924E3D"/>
    <w:rsid w:val="00930DE5"/>
    <w:rsid w:val="00934809"/>
    <w:rsid w:val="0093597D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20FE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6E57"/>
    <w:rsid w:val="00AA7803"/>
    <w:rsid w:val="00AB1D3C"/>
    <w:rsid w:val="00AC3178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66731"/>
    <w:rsid w:val="00B742D0"/>
    <w:rsid w:val="00B90117"/>
    <w:rsid w:val="00BA020C"/>
    <w:rsid w:val="00BA2A2D"/>
    <w:rsid w:val="00C13289"/>
    <w:rsid w:val="00C27407"/>
    <w:rsid w:val="00C448A6"/>
    <w:rsid w:val="00C52856"/>
    <w:rsid w:val="00C56305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6640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814B0"/>
    <w:rsid w:val="00D97FF7"/>
    <w:rsid w:val="00DB71C3"/>
    <w:rsid w:val="00DC3772"/>
    <w:rsid w:val="00DC79EA"/>
    <w:rsid w:val="00DC7F2E"/>
    <w:rsid w:val="00DF14AB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1E93"/>
    <w:rsid w:val="00E534D3"/>
    <w:rsid w:val="00E539A9"/>
    <w:rsid w:val="00E74F8B"/>
    <w:rsid w:val="00E75C8E"/>
    <w:rsid w:val="00E760C9"/>
    <w:rsid w:val="00E76C5B"/>
    <w:rsid w:val="00E82051"/>
    <w:rsid w:val="00E836C9"/>
    <w:rsid w:val="00E83DDB"/>
    <w:rsid w:val="00E87CB0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F56BAB"/>
    <w:rsid w:val="00F627D9"/>
    <w:rsid w:val="00F62C65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84216B-DA12-420D-9718-3D70A212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Title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0">
    <w:name w:val="Нормальний текст"/>
    <w:basedOn w:val="a"/>
    <w:rsid w:val="004925CC"/>
    <w:pPr>
      <w:spacing w:before="120"/>
      <w:ind w:firstLine="567"/>
    </w:pPr>
    <w:rPr>
      <w:rFonts w:ascii="Antiqua" w:hAnsi="Antiqua"/>
      <w:sz w:val="26"/>
    </w:rPr>
  </w:style>
  <w:style w:type="character" w:customStyle="1" w:styleId="24">
    <w:name w:val=" Знак Знак2"/>
    <w:basedOn w:val="a0"/>
    <w:locked/>
    <w:rsid w:val="00F62C65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2020-01-15T10:11:00Z</cp:lastPrinted>
  <dcterms:created xsi:type="dcterms:W3CDTF">2020-01-22T09:53:00Z</dcterms:created>
  <dcterms:modified xsi:type="dcterms:W3CDTF">2020-01-22T09:53:00Z</dcterms:modified>
</cp:coreProperties>
</file>