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E92" w:rsidRDefault="00765E92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765E92" w:rsidRPr="00E83DDB" w:rsidRDefault="00B72106" w:rsidP="001431F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624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E92" w:rsidRPr="00E83DDB" w:rsidRDefault="00765E92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765E92" w:rsidRPr="00E83DDB" w:rsidRDefault="00765E92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765E92" w:rsidRPr="00E83DDB" w:rsidRDefault="00765E92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765E92" w:rsidRPr="00D51933" w:rsidRDefault="00765E92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765E92" w:rsidRDefault="00765E92">
      <w:pPr>
        <w:rPr>
          <w:szCs w:val="28"/>
          <w:u w:val="single"/>
        </w:rPr>
      </w:pPr>
    </w:p>
    <w:p w:rsidR="00765E92" w:rsidRPr="00781857" w:rsidRDefault="00765E92">
      <w:pPr>
        <w:rPr>
          <w:szCs w:val="28"/>
        </w:rPr>
      </w:pPr>
      <w:r>
        <w:rPr>
          <w:szCs w:val="28"/>
        </w:rPr>
        <w:t>____________</w:t>
      </w:r>
      <w:r w:rsidRPr="00BA67E7">
        <w:rPr>
          <w:szCs w:val="28"/>
        </w:rPr>
        <w:t xml:space="preserve">№ </w:t>
      </w:r>
      <w:r w:rsidRPr="00BA67E7">
        <w:rPr>
          <w:szCs w:val="28"/>
          <w:lang w:val="ru-RU"/>
        </w:rPr>
        <w:t>_____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765E92" w:rsidRDefault="00765E92">
      <w:pPr>
        <w:rPr>
          <w:szCs w:val="28"/>
          <w:lang w:val="ru-RU"/>
        </w:rPr>
      </w:pPr>
    </w:p>
    <w:p w:rsidR="00765E92" w:rsidRDefault="00765E92">
      <w:pPr>
        <w:rPr>
          <w:sz w:val="16"/>
          <w:szCs w:val="16"/>
          <w:lang w:val="ru-RU"/>
        </w:rPr>
      </w:pPr>
    </w:p>
    <w:p w:rsidR="00765E92" w:rsidRPr="008D0494" w:rsidRDefault="00765E92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765E92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765E92" w:rsidRPr="00F75B9C" w:rsidRDefault="00765E92" w:rsidP="00064BC6">
            <w:pPr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  <w:bookmarkEnd w:id="0"/>
          </w:p>
        </w:tc>
      </w:tr>
    </w:tbl>
    <w:p w:rsidR="00765E92" w:rsidRDefault="00765E9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65E92" w:rsidRPr="00375AF5" w:rsidRDefault="00765E92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765E92" w:rsidRPr="00C40060" w:rsidRDefault="00765E9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 та установ міста,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765E92" w:rsidRDefault="00765E92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765E92" w:rsidRPr="00BE71BB" w:rsidRDefault="00765E92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765E92" w:rsidRDefault="00765E92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765E92" w:rsidRDefault="00765E92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765E92" w:rsidRDefault="00765E92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765E92" w:rsidRDefault="00765E92" w:rsidP="00291D35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 xml:space="preserve">ати згоду на списання з балансу </w:t>
      </w:r>
      <w:r w:rsidRPr="00B91C68">
        <w:rPr>
          <w:szCs w:val="28"/>
        </w:rPr>
        <w:t>комунального підприємства</w:t>
      </w:r>
      <w:r>
        <w:rPr>
          <w:szCs w:val="28"/>
        </w:rPr>
        <w:t xml:space="preserve"> «Чернівецьке тролейбусне управління»</w:t>
      </w:r>
      <w:r w:rsidRPr="00291D35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301, заводський номер 11073,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10500301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221422 (двісті двадцять одна тисяча чотириста двадцять дві)грн.23коп.</w:t>
      </w:r>
      <w:r w:rsidRPr="00B91C68">
        <w:rPr>
          <w:szCs w:val="28"/>
        </w:rPr>
        <w:t>, сума зносу нарахована повністю.</w:t>
      </w:r>
    </w:p>
    <w:p w:rsidR="00765E92" w:rsidRPr="00993D8F" w:rsidRDefault="00765E92" w:rsidP="00BA2D70">
      <w:pPr>
        <w:tabs>
          <w:tab w:val="left" w:pos="0"/>
          <w:tab w:val="left" w:pos="4928"/>
        </w:tabs>
        <w:ind w:right="-2" w:firstLine="700"/>
        <w:jc w:val="both"/>
        <w:rPr>
          <w:szCs w:val="28"/>
        </w:rPr>
      </w:pPr>
      <w:r>
        <w:rPr>
          <w:b/>
          <w:szCs w:val="28"/>
        </w:rPr>
        <w:t>2</w:t>
      </w:r>
      <w:r w:rsidRPr="00993D8F">
        <w:rPr>
          <w:b/>
          <w:szCs w:val="28"/>
        </w:rPr>
        <w:t xml:space="preserve">. </w:t>
      </w:r>
      <w:r>
        <w:rPr>
          <w:szCs w:val="28"/>
        </w:rPr>
        <w:t xml:space="preserve">Надати згоду на списання </w:t>
      </w:r>
      <w:r w:rsidRPr="00993D8F">
        <w:rPr>
          <w:szCs w:val="28"/>
        </w:rPr>
        <w:t>з балансу</w:t>
      </w:r>
      <w:r>
        <w:rPr>
          <w:szCs w:val="28"/>
        </w:rPr>
        <w:t xml:space="preserve"> комунальної медичної установи «Міська стоматологічна поліклініка» основних засобів</w:t>
      </w:r>
      <w:r w:rsidRPr="00993D8F">
        <w:rPr>
          <w:szCs w:val="28"/>
        </w:rPr>
        <w:t xml:space="preserve">, які є власністю територіальної громади </w:t>
      </w:r>
      <w:r>
        <w:rPr>
          <w:szCs w:val="28"/>
        </w:rPr>
        <w:t>м.Чернівців, згідно з додатком</w:t>
      </w:r>
      <w:r w:rsidRPr="00993D8F">
        <w:rPr>
          <w:szCs w:val="28"/>
        </w:rPr>
        <w:t>.</w:t>
      </w:r>
    </w:p>
    <w:p w:rsidR="00765E92" w:rsidRDefault="00765E92" w:rsidP="00413EBD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</w:p>
    <w:p w:rsidR="00765E92" w:rsidRDefault="00765E92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, вказаних в</w:t>
      </w:r>
      <w:r w:rsidRPr="00F90939">
        <w:rPr>
          <w:szCs w:val="28"/>
        </w:rPr>
        <w:t xml:space="preserve"> </w:t>
      </w:r>
      <w:r w:rsidRPr="00021000">
        <w:rPr>
          <w:szCs w:val="28"/>
        </w:rPr>
        <w:t>пунктах 1</w:t>
      </w:r>
      <w:r>
        <w:rPr>
          <w:szCs w:val="28"/>
        </w:rPr>
        <w:t>, 2</w:t>
      </w:r>
      <w:r w:rsidRPr="00021000">
        <w:rPr>
          <w:szCs w:val="28"/>
        </w:rPr>
        <w:t xml:space="preserve"> рішення</w:t>
      </w:r>
      <w:r>
        <w:rPr>
          <w:szCs w:val="28"/>
        </w:rPr>
        <w:t>:</w:t>
      </w:r>
    </w:p>
    <w:p w:rsidR="00765E92" w:rsidRPr="00021000" w:rsidRDefault="00765E92" w:rsidP="008D0494">
      <w:pPr>
        <w:tabs>
          <w:tab w:val="left" w:pos="0"/>
        </w:tabs>
        <w:spacing w:after="240"/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.1. </w:t>
      </w:r>
      <w:r>
        <w:rPr>
          <w:szCs w:val="28"/>
        </w:rPr>
        <w:t>О</w:t>
      </w:r>
      <w:r w:rsidRPr="00021000">
        <w:rPr>
          <w:szCs w:val="28"/>
        </w:rPr>
        <w:t>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>- продати в металобрухт,</w:t>
      </w:r>
      <w:r w:rsidRPr="00A52335">
        <w:rPr>
          <w:szCs w:val="28"/>
        </w:rPr>
        <w:t xml:space="preserve"> </w:t>
      </w:r>
      <w:r>
        <w:rPr>
          <w:szCs w:val="28"/>
        </w:rPr>
        <w:t>а ті що містять дорогоцінні метали -</w:t>
      </w:r>
      <w:r w:rsidRPr="00021000">
        <w:rPr>
          <w:szCs w:val="28"/>
        </w:rPr>
        <w:t xml:space="preserve"> здати с</w:t>
      </w:r>
      <w:r>
        <w:rPr>
          <w:szCs w:val="28"/>
        </w:rPr>
        <w:t>пеціалізованому підприємству, яке</w:t>
      </w:r>
      <w:r w:rsidRPr="00021000">
        <w:rPr>
          <w:szCs w:val="28"/>
        </w:rPr>
        <w:t xml:space="preserve"> здійснює їх приймання та переробку</w:t>
      </w:r>
      <w:r>
        <w:rPr>
          <w:szCs w:val="28"/>
        </w:rPr>
        <w:t xml:space="preserve">, </w:t>
      </w:r>
      <w:r w:rsidRPr="00021000">
        <w:rPr>
          <w:szCs w:val="28"/>
        </w:rPr>
        <w:t>інші – утилізувати.</w:t>
      </w:r>
    </w:p>
    <w:p w:rsidR="00765E92" w:rsidRDefault="00765E92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765E92" w:rsidRDefault="00765E92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765E92" w:rsidRDefault="00765E92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металевих і дорогоцінних металів та платіжних доручень про зарахування  коштів від продажу металевих і дорогоцінних металів на розрахунковий рахунок підприємства, установи.</w:t>
      </w:r>
    </w:p>
    <w:p w:rsidR="00765E92" w:rsidRDefault="00765E92" w:rsidP="008D0494">
      <w:pPr>
        <w:pStyle w:val="ad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765E92" w:rsidRDefault="00765E92" w:rsidP="008D0494">
      <w:pPr>
        <w:pStyle w:val="ad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5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департаменти міської ради: розвитку і житлово-комунального господарства та управління забезпечення медичного обслуговування охорони здоров</w:t>
      </w:r>
      <w:r w:rsidRPr="00A52335">
        <w:rPr>
          <w:lang w:val="ru-RU"/>
        </w:rPr>
        <w:t>’</w:t>
      </w:r>
      <w:r>
        <w:t>я Чернівецької міської ради.</w:t>
      </w:r>
      <w:r w:rsidRPr="00021000">
        <w:t xml:space="preserve"> </w:t>
      </w:r>
    </w:p>
    <w:p w:rsidR="00765E92" w:rsidRDefault="00765E92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765E92" w:rsidRDefault="00765E92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765E92" w:rsidRPr="00BC6D4B" w:rsidRDefault="00765E92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765E92" w:rsidRDefault="00765E92" w:rsidP="00F97BDF">
      <w:pPr>
        <w:spacing w:before="120"/>
        <w:ind w:right="-87"/>
        <w:jc w:val="both"/>
        <w:rPr>
          <w:b/>
          <w:sz w:val="24"/>
        </w:rPr>
      </w:pPr>
    </w:p>
    <w:p w:rsidR="00765E92" w:rsidRDefault="00765E92" w:rsidP="00F97BDF">
      <w:pPr>
        <w:spacing w:before="120"/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Default="00765E92" w:rsidP="00D20528">
      <w:pPr>
        <w:ind w:right="-87"/>
        <w:jc w:val="both"/>
        <w:rPr>
          <w:b/>
          <w:sz w:val="24"/>
        </w:rPr>
      </w:pPr>
    </w:p>
    <w:p w:rsidR="00765E92" w:rsidRPr="009377B3" w:rsidRDefault="00765E92" w:rsidP="009377B3">
      <w:pPr>
        <w:ind w:right="-87"/>
        <w:rPr>
          <w:b/>
          <w:sz w:val="16"/>
          <w:szCs w:val="16"/>
        </w:rPr>
      </w:pPr>
      <w:r>
        <w:rPr>
          <w:b/>
          <w:szCs w:val="28"/>
        </w:rPr>
        <w:t xml:space="preserve">                                                            </w:t>
      </w:r>
    </w:p>
    <w:p w:rsidR="00765E92" w:rsidRPr="00544F23" w:rsidRDefault="00765E92" w:rsidP="007505A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Додаток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</w:t>
      </w:r>
      <w:r w:rsidRPr="00544F23">
        <w:rPr>
          <w:b/>
          <w:szCs w:val="28"/>
        </w:rPr>
        <w:t xml:space="preserve">до рішення </w:t>
      </w:r>
      <w:r>
        <w:rPr>
          <w:b/>
          <w:szCs w:val="28"/>
        </w:rPr>
        <w:t xml:space="preserve">виконавчого </w:t>
      </w:r>
    </w:p>
    <w:p w:rsidR="00765E92" w:rsidRPr="00544F23" w:rsidRDefault="00765E92" w:rsidP="007505A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  <w:t xml:space="preserve">         </w:t>
      </w:r>
      <w:r w:rsidRPr="00544F23">
        <w:rPr>
          <w:b/>
          <w:szCs w:val="28"/>
        </w:rPr>
        <w:t xml:space="preserve">комітету  міської ради </w:t>
      </w:r>
    </w:p>
    <w:p w:rsidR="00765E92" w:rsidRPr="007505AF" w:rsidRDefault="00765E92" w:rsidP="007505AF">
      <w:pPr>
        <w:ind w:right="-87"/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  <w:t xml:space="preserve">         _______</w:t>
      </w:r>
      <w:r w:rsidRPr="00544F23">
        <w:rPr>
          <w:b/>
          <w:szCs w:val="28"/>
        </w:rPr>
        <w:t>201</w:t>
      </w:r>
      <w:r>
        <w:rPr>
          <w:b/>
          <w:szCs w:val="28"/>
        </w:rPr>
        <w:t>9</w:t>
      </w:r>
      <w:r w:rsidRPr="00544F23">
        <w:rPr>
          <w:b/>
          <w:szCs w:val="28"/>
        </w:rPr>
        <w:t xml:space="preserve">  № </w:t>
      </w:r>
      <w:r w:rsidRPr="007505AF">
        <w:rPr>
          <w:szCs w:val="28"/>
          <w:u w:val="single"/>
        </w:rPr>
        <w:t xml:space="preserve">_______ </w:t>
      </w:r>
    </w:p>
    <w:p w:rsidR="00765E92" w:rsidRDefault="00765E92" w:rsidP="009377B3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765E92" w:rsidRDefault="00765E92" w:rsidP="009377B3">
      <w:pPr>
        <w:ind w:right="-87"/>
        <w:rPr>
          <w:b/>
          <w:szCs w:val="28"/>
        </w:rPr>
      </w:pPr>
    </w:p>
    <w:p w:rsidR="00765E92" w:rsidRPr="009377B3" w:rsidRDefault="00765E92" w:rsidP="009377B3">
      <w:pPr>
        <w:ind w:right="-87"/>
        <w:rPr>
          <w:b/>
          <w:sz w:val="16"/>
          <w:szCs w:val="16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           </w:t>
      </w:r>
    </w:p>
    <w:p w:rsidR="00765E92" w:rsidRDefault="00765E92" w:rsidP="007505AF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765E92" w:rsidRPr="00383CF3" w:rsidRDefault="00765E92" w:rsidP="007505AF">
      <w:pPr>
        <w:ind w:right="-87"/>
        <w:jc w:val="center"/>
      </w:pPr>
      <w:r w:rsidRPr="00383CF3">
        <w:rPr>
          <w:szCs w:val="28"/>
        </w:rPr>
        <w:t xml:space="preserve"> </w:t>
      </w:r>
      <w:r>
        <w:rPr>
          <w:szCs w:val="28"/>
        </w:rPr>
        <w:t>основних засобів, що є власністю територіальної громади м.Чернівців, як</w:t>
      </w:r>
      <w:r w:rsidRPr="009B66F8">
        <w:rPr>
          <w:szCs w:val="28"/>
        </w:rPr>
        <w:t xml:space="preserve">і </w:t>
      </w:r>
      <w:r>
        <w:rPr>
          <w:szCs w:val="28"/>
        </w:rPr>
        <w:t>списуються з балансу комунальної медичної установи                                          «Міська стоматологічна поліклініка</w:t>
      </w:r>
      <w:r w:rsidRPr="009B66F8">
        <w:rPr>
          <w:szCs w:val="28"/>
        </w:rPr>
        <w:t>»</w:t>
      </w:r>
    </w:p>
    <w:p w:rsidR="00765E92" w:rsidRDefault="00765E92" w:rsidP="007505AF">
      <w:pPr>
        <w:rPr>
          <w:sz w:val="16"/>
          <w:szCs w:val="16"/>
        </w:rPr>
      </w:pPr>
    </w:p>
    <w:p w:rsidR="00765E92" w:rsidRPr="009377B3" w:rsidRDefault="00765E92" w:rsidP="007505AF">
      <w:pPr>
        <w:rPr>
          <w:sz w:val="16"/>
          <w:szCs w:val="16"/>
        </w:rPr>
      </w:pPr>
    </w:p>
    <w:tbl>
      <w:tblPr>
        <w:tblW w:w="10780" w:type="dxa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660"/>
        <w:gridCol w:w="1680"/>
        <w:gridCol w:w="1260"/>
        <w:gridCol w:w="1540"/>
        <w:gridCol w:w="1540"/>
        <w:gridCol w:w="1540"/>
      </w:tblGrid>
      <w:tr w:rsidR="00765E92" w:rsidRPr="009715CE" w:rsidTr="006C46D2">
        <w:tc>
          <w:tcPr>
            <w:tcW w:w="560" w:type="dxa"/>
            <w:vAlign w:val="center"/>
          </w:tcPr>
          <w:p w:rsidR="00765E92" w:rsidRPr="009715CE" w:rsidRDefault="00765E92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№</w:t>
            </w:r>
          </w:p>
          <w:p w:rsidR="00765E92" w:rsidRPr="009715CE" w:rsidRDefault="00765E92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з/п</w:t>
            </w:r>
          </w:p>
        </w:tc>
        <w:tc>
          <w:tcPr>
            <w:tcW w:w="2660" w:type="dxa"/>
            <w:vAlign w:val="center"/>
          </w:tcPr>
          <w:p w:rsidR="00765E92" w:rsidRPr="009715CE" w:rsidRDefault="00765E92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Найменування</w:t>
            </w:r>
          </w:p>
        </w:tc>
        <w:tc>
          <w:tcPr>
            <w:tcW w:w="1680" w:type="dxa"/>
            <w:vAlign w:val="center"/>
          </w:tcPr>
          <w:p w:rsidR="00765E92" w:rsidRPr="009715CE" w:rsidRDefault="00765E92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Інвентарний номер</w:t>
            </w:r>
          </w:p>
        </w:tc>
        <w:tc>
          <w:tcPr>
            <w:tcW w:w="1260" w:type="dxa"/>
            <w:vAlign w:val="center"/>
          </w:tcPr>
          <w:p w:rsidR="00765E92" w:rsidRPr="009715CE" w:rsidRDefault="00765E92" w:rsidP="0045069F">
            <w:pPr>
              <w:jc w:val="center"/>
              <w:rPr>
                <w:b/>
                <w:sz w:val="24"/>
              </w:rPr>
            </w:pPr>
            <w:r w:rsidRPr="006D30E6">
              <w:rPr>
                <w:b/>
                <w:sz w:val="24"/>
              </w:rPr>
              <w:t>Рік введення в експлуа-тацію</w:t>
            </w:r>
          </w:p>
        </w:tc>
        <w:tc>
          <w:tcPr>
            <w:tcW w:w="1540" w:type="dxa"/>
            <w:vAlign w:val="center"/>
          </w:tcPr>
          <w:p w:rsidR="00765E92" w:rsidRPr="009715CE" w:rsidRDefault="00765E92" w:rsidP="00E43D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Первісна</w:t>
            </w:r>
            <w:r w:rsidRPr="009715CE">
              <w:rPr>
                <w:b/>
                <w:sz w:val="24"/>
              </w:rPr>
              <w:t xml:space="preserve"> вартість</w:t>
            </w:r>
          </w:p>
          <w:p w:rsidR="00765E92" w:rsidRPr="009715CE" w:rsidRDefault="00765E92" w:rsidP="00E43D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(грн.)</w:t>
            </w:r>
          </w:p>
        </w:tc>
        <w:tc>
          <w:tcPr>
            <w:tcW w:w="1540" w:type="dxa"/>
            <w:vAlign w:val="center"/>
          </w:tcPr>
          <w:p w:rsidR="00765E92" w:rsidRPr="009715CE" w:rsidRDefault="00765E92" w:rsidP="00E43D7D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Знос</w:t>
            </w:r>
            <w:r>
              <w:rPr>
                <w:b/>
                <w:sz w:val="24"/>
              </w:rPr>
              <w:t xml:space="preserve"> станом на 01.10.2019р</w:t>
            </w:r>
          </w:p>
          <w:p w:rsidR="00765E92" w:rsidRPr="009715CE" w:rsidRDefault="00765E92" w:rsidP="00E43D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(грн.)</w:t>
            </w:r>
          </w:p>
        </w:tc>
        <w:tc>
          <w:tcPr>
            <w:tcW w:w="1540" w:type="dxa"/>
            <w:vAlign w:val="center"/>
          </w:tcPr>
          <w:p w:rsidR="00765E92" w:rsidRPr="009715CE" w:rsidRDefault="00765E92" w:rsidP="00E43D7D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Залишкова</w:t>
            </w:r>
          </w:p>
          <w:p w:rsidR="00765E92" w:rsidRPr="009715CE" w:rsidRDefault="00765E92" w:rsidP="00E43D7D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вартість</w:t>
            </w:r>
          </w:p>
          <w:p w:rsidR="00765E92" w:rsidRPr="009715CE" w:rsidRDefault="00765E92" w:rsidP="00E43D7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(грн.)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Pr="009715CE" w:rsidRDefault="00765E92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1.</w:t>
            </w:r>
          </w:p>
        </w:tc>
        <w:tc>
          <w:tcPr>
            <w:tcW w:w="2660" w:type="dxa"/>
          </w:tcPr>
          <w:p w:rsidR="00765E92" w:rsidRPr="00730892" w:rsidRDefault="00765E92" w:rsidP="009377B3">
            <w:pPr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sz w:val="22"/>
                <w:szCs w:val="22"/>
              </w:rPr>
              <w:t xml:space="preserve">Система цифрової обробки зображення </w:t>
            </w:r>
            <w:r>
              <w:rPr>
                <w:sz w:val="22"/>
                <w:szCs w:val="22"/>
                <w:lang w:val="en-US"/>
              </w:rPr>
              <w:t>Planme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1680" w:type="dxa"/>
          </w:tcPr>
          <w:p w:rsidR="00765E92" w:rsidRPr="00730892" w:rsidRDefault="00765E92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101470629</w:t>
            </w:r>
          </w:p>
        </w:tc>
        <w:tc>
          <w:tcPr>
            <w:tcW w:w="1260" w:type="dxa"/>
          </w:tcPr>
          <w:p w:rsidR="00765E92" w:rsidRPr="00785D17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540" w:type="dxa"/>
          </w:tcPr>
          <w:p w:rsidR="00765E92" w:rsidRPr="00730892" w:rsidRDefault="00765E92" w:rsidP="009377B3">
            <w:pPr>
              <w:jc w:val="center"/>
            </w:pPr>
            <w:r>
              <w:rPr>
                <w:sz w:val="22"/>
                <w:szCs w:val="22"/>
                <w:lang w:val="en-US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35 420,00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10 780,00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Pr="009715CE" w:rsidRDefault="00765E92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2.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Шафа ШСТ ГП-80-410</w:t>
            </w:r>
          </w:p>
        </w:tc>
        <w:tc>
          <w:tcPr>
            <w:tcW w:w="168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101498476</w:t>
            </w:r>
          </w:p>
        </w:tc>
        <w:tc>
          <w:tcPr>
            <w:tcW w:w="1260" w:type="dxa"/>
          </w:tcPr>
          <w:p w:rsidR="00765E92" w:rsidRPr="00177D1F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5 150,00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4 248,00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902,00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Pr="009715CE" w:rsidRDefault="00765E92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3.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Скалер Амдент</w:t>
            </w:r>
          </w:p>
        </w:tc>
        <w:tc>
          <w:tcPr>
            <w:tcW w:w="168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101498404</w:t>
            </w:r>
          </w:p>
        </w:tc>
        <w:tc>
          <w:tcPr>
            <w:tcW w:w="1260" w:type="dxa"/>
          </w:tcPr>
          <w:p w:rsidR="00765E92" w:rsidRPr="00177D1F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7 245,00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6 880,00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365,00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Pr="009715CE" w:rsidRDefault="00765E92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4.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Дарсенваль «Ультрарадар»</w:t>
            </w:r>
          </w:p>
        </w:tc>
        <w:tc>
          <w:tcPr>
            <w:tcW w:w="168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101498433</w:t>
            </w:r>
          </w:p>
        </w:tc>
        <w:tc>
          <w:tcPr>
            <w:tcW w:w="1260" w:type="dxa"/>
          </w:tcPr>
          <w:p w:rsidR="00765E92" w:rsidRPr="00177D1F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9 800,00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8 901,00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899,00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Pr="009715CE" w:rsidRDefault="00765E92" w:rsidP="009377B3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Фотополімерна лампа «</w:t>
            </w:r>
            <w:r>
              <w:rPr>
                <w:sz w:val="22"/>
                <w:szCs w:val="22"/>
                <w:lang w:val="en-US"/>
              </w:rPr>
              <w:t>Lumeon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765E92" w:rsidRPr="00131ACB" w:rsidRDefault="00765E92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101470715</w:t>
            </w:r>
          </w:p>
        </w:tc>
        <w:tc>
          <w:tcPr>
            <w:tcW w:w="1260" w:type="dxa"/>
          </w:tcPr>
          <w:p w:rsidR="00765E92" w:rsidRPr="00131ACB" w:rsidRDefault="00765E92" w:rsidP="009377B3">
            <w:pPr>
              <w:ind w:right="148" w:firstLine="45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2014</w:t>
            </w:r>
          </w:p>
        </w:tc>
        <w:tc>
          <w:tcPr>
            <w:tcW w:w="1540" w:type="dxa"/>
          </w:tcPr>
          <w:p w:rsidR="00765E92" w:rsidRPr="00131ACB" w:rsidRDefault="00765E92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1 360,00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1 840,00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Pr="009715CE" w:rsidRDefault="00765E92" w:rsidP="009377B3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Фотополімерна лампа «</w:t>
            </w:r>
            <w:r>
              <w:rPr>
                <w:sz w:val="22"/>
                <w:szCs w:val="22"/>
                <w:lang w:val="en-US"/>
              </w:rPr>
              <w:t>Lumeon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101470719</w:t>
            </w:r>
          </w:p>
        </w:tc>
        <w:tc>
          <w:tcPr>
            <w:tcW w:w="1260" w:type="dxa"/>
          </w:tcPr>
          <w:p w:rsidR="00765E92" w:rsidRPr="00177D1F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3 700,00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1 418,33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2 281,67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Default="00765E92" w:rsidP="009377B3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Установка ФД-7000 С2</w:t>
            </w:r>
          </w:p>
        </w:tc>
        <w:tc>
          <w:tcPr>
            <w:tcW w:w="168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101470547</w:t>
            </w:r>
          </w:p>
        </w:tc>
        <w:tc>
          <w:tcPr>
            <w:tcW w:w="1260" w:type="dxa"/>
          </w:tcPr>
          <w:p w:rsidR="00765E92" w:rsidRPr="00177D1F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1996</w:t>
            </w:r>
          </w:p>
        </w:tc>
        <w:tc>
          <w:tcPr>
            <w:tcW w:w="1540" w:type="dxa"/>
          </w:tcPr>
          <w:p w:rsidR="00765E92" w:rsidRPr="006B43AE" w:rsidRDefault="00765E92" w:rsidP="009377B3">
            <w:pPr>
              <w:jc w:val="center"/>
              <w:rPr>
                <w:highlight w:val="yellow"/>
              </w:rPr>
            </w:pPr>
            <w:r w:rsidRPr="0052744B">
              <w:rPr>
                <w:sz w:val="22"/>
                <w:szCs w:val="22"/>
              </w:rPr>
              <w:t>12 160,44</w:t>
            </w:r>
          </w:p>
        </w:tc>
        <w:tc>
          <w:tcPr>
            <w:tcW w:w="1540" w:type="dxa"/>
          </w:tcPr>
          <w:p w:rsidR="00765E92" w:rsidRPr="0052744B" w:rsidRDefault="00765E92" w:rsidP="009377B3">
            <w:pPr>
              <w:jc w:val="center"/>
            </w:pPr>
            <w:r w:rsidRPr="0052744B">
              <w:rPr>
                <w:sz w:val="22"/>
                <w:szCs w:val="22"/>
              </w:rPr>
              <w:t>11 922,00</w:t>
            </w:r>
          </w:p>
        </w:tc>
        <w:tc>
          <w:tcPr>
            <w:tcW w:w="1540" w:type="dxa"/>
          </w:tcPr>
          <w:p w:rsidR="00765E92" w:rsidRPr="0052744B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Pr="0052744B">
              <w:rPr>
                <w:sz w:val="22"/>
                <w:szCs w:val="22"/>
              </w:rPr>
              <w:t>8,4</w:t>
            </w:r>
            <w:r>
              <w:rPr>
                <w:sz w:val="22"/>
                <w:szCs w:val="22"/>
              </w:rPr>
              <w:t>4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Default="00765E92" w:rsidP="009377B3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Утилізатор голок</w:t>
            </w:r>
          </w:p>
        </w:tc>
        <w:tc>
          <w:tcPr>
            <w:tcW w:w="168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101470665</w:t>
            </w:r>
          </w:p>
        </w:tc>
        <w:tc>
          <w:tcPr>
            <w:tcW w:w="1260" w:type="dxa"/>
          </w:tcPr>
          <w:p w:rsidR="00765E92" w:rsidRPr="00177D1F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1 625,00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1 068,00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557,00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Default="00765E92" w:rsidP="009377B3">
            <w:pPr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Мікромотор «</w:t>
            </w:r>
            <w:r>
              <w:rPr>
                <w:sz w:val="22"/>
                <w:szCs w:val="22"/>
                <w:lang w:val="en-US"/>
              </w:rPr>
              <w:t>Bein Air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765E92" w:rsidRPr="00EA46AB" w:rsidRDefault="00765E92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101470646</w:t>
            </w:r>
          </w:p>
        </w:tc>
        <w:tc>
          <w:tcPr>
            <w:tcW w:w="1260" w:type="dxa"/>
          </w:tcPr>
          <w:p w:rsidR="00765E92" w:rsidRPr="00052454" w:rsidRDefault="00765E92" w:rsidP="009377B3">
            <w:pPr>
              <w:ind w:right="148" w:firstLine="45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2011</w:t>
            </w:r>
          </w:p>
        </w:tc>
        <w:tc>
          <w:tcPr>
            <w:tcW w:w="1540" w:type="dxa"/>
          </w:tcPr>
          <w:p w:rsidR="00765E92" w:rsidRPr="00052454" w:rsidRDefault="00765E92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4 920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3 690,00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1 230,00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Default="00765E92" w:rsidP="009377B3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Мікромотор «</w:t>
            </w:r>
            <w:r>
              <w:rPr>
                <w:sz w:val="22"/>
                <w:szCs w:val="22"/>
                <w:lang w:val="en-US"/>
              </w:rPr>
              <w:t>Bein Air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765E92" w:rsidRPr="006418F2" w:rsidRDefault="00765E92" w:rsidP="009377B3">
            <w:pPr>
              <w:jc w:val="center"/>
            </w:pPr>
            <w:r>
              <w:rPr>
                <w:sz w:val="22"/>
                <w:szCs w:val="22"/>
                <w:lang w:val="en-US"/>
              </w:rPr>
              <w:t>10147064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</w:tcPr>
          <w:p w:rsidR="00765E92" w:rsidRPr="00052454" w:rsidRDefault="00765E92" w:rsidP="009377B3">
            <w:pPr>
              <w:ind w:right="148" w:firstLine="45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2011</w:t>
            </w:r>
          </w:p>
        </w:tc>
        <w:tc>
          <w:tcPr>
            <w:tcW w:w="1540" w:type="dxa"/>
          </w:tcPr>
          <w:p w:rsidR="00765E92" w:rsidRPr="00052454" w:rsidRDefault="00765E92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4 920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3 690,00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1 230,00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Default="00765E92" w:rsidP="009377B3">
            <w:pPr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Мікромотор «</w:t>
            </w:r>
            <w:r>
              <w:rPr>
                <w:sz w:val="22"/>
                <w:szCs w:val="22"/>
                <w:lang w:val="en-US"/>
              </w:rPr>
              <w:t>Bein Air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765E92" w:rsidRPr="00083FE1" w:rsidRDefault="00765E92" w:rsidP="009377B3">
            <w:pPr>
              <w:jc w:val="center"/>
            </w:pPr>
            <w:r>
              <w:rPr>
                <w:sz w:val="22"/>
                <w:szCs w:val="22"/>
                <w:lang w:val="en-US"/>
              </w:rPr>
              <w:t>1014706</w:t>
            </w:r>
            <w:r>
              <w:rPr>
                <w:sz w:val="22"/>
                <w:szCs w:val="22"/>
              </w:rPr>
              <w:t>69</w:t>
            </w:r>
          </w:p>
        </w:tc>
        <w:tc>
          <w:tcPr>
            <w:tcW w:w="1260" w:type="dxa"/>
          </w:tcPr>
          <w:p w:rsidR="00765E92" w:rsidRPr="00083FE1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40" w:type="dxa"/>
          </w:tcPr>
          <w:p w:rsidR="00765E92" w:rsidRPr="00052454" w:rsidRDefault="00765E92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3 622,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2 202,80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1 419,20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Default="00765E92" w:rsidP="009377B3">
            <w:pPr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60" w:type="dxa"/>
          </w:tcPr>
          <w:p w:rsidR="00765E92" w:rsidRPr="006050B8" w:rsidRDefault="00765E92" w:rsidP="009377B3">
            <w:pPr>
              <w:tabs>
                <w:tab w:val="left" w:pos="0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Скалер </w:t>
            </w:r>
            <w:r>
              <w:rPr>
                <w:sz w:val="22"/>
                <w:szCs w:val="22"/>
                <w:lang w:val="en-US"/>
              </w:rPr>
              <w:t>Satelec</w:t>
            </w:r>
          </w:p>
        </w:tc>
        <w:tc>
          <w:tcPr>
            <w:tcW w:w="168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101470704</w:t>
            </w:r>
          </w:p>
        </w:tc>
        <w:tc>
          <w:tcPr>
            <w:tcW w:w="1260" w:type="dxa"/>
          </w:tcPr>
          <w:p w:rsidR="00765E92" w:rsidRPr="00177D1F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5 670,00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3 024,00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2 646,00</w:t>
            </w:r>
          </w:p>
        </w:tc>
      </w:tr>
      <w:tr w:rsidR="00765E92" w:rsidRPr="009715CE" w:rsidTr="006C46D2">
        <w:tc>
          <w:tcPr>
            <w:tcW w:w="560" w:type="dxa"/>
          </w:tcPr>
          <w:p w:rsidR="00765E92" w:rsidRDefault="00765E92" w:rsidP="009377B3">
            <w:pPr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60" w:type="dxa"/>
          </w:tcPr>
          <w:p w:rsidR="00765E92" w:rsidRPr="00235060" w:rsidRDefault="00765E92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Апарат для електрополіровки</w:t>
            </w:r>
          </w:p>
        </w:tc>
        <w:tc>
          <w:tcPr>
            <w:tcW w:w="168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101498420</w:t>
            </w:r>
          </w:p>
        </w:tc>
        <w:tc>
          <w:tcPr>
            <w:tcW w:w="1260" w:type="dxa"/>
          </w:tcPr>
          <w:p w:rsidR="00765E92" w:rsidRPr="00177D1F" w:rsidRDefault="00765E92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8 275,00</w:t>
            </w:r>
          </w:p>
        </w:tc>
        <w:tc>
          <w:tcPr>
            <w:tcW w:w="1540" w:type="dxa"/>
          </w:tcPr>
          <w:p w:rsidR="00765E92" w:rsidRPr="00177D1F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7 651,00</w:t>
            </w:r>
          </w:p>
        </w:tc>
        <w:tc>
          <w:tcPr>
            <w:tcW w:w="1540" w:type="dxa"/>
          </w:tcPr>
          <w:p w:rsidR="00765E92" w:rsidRDefault="00765E92" w:rsidP="009377B3">
            <w:pPr>
              <w:jc w:val="center"/>
            </w:pPr>
            <w:r>
              <w:rPr>
                <w:sz w:val="22"/>
                <w:szCs w:val="22"/>
              </w:rPr>
              <w:t>624,00</w:t>
            </w:r>
          </w:p>
        </w:tc>
      </w:tr>
    </w:tbl>
    <w:p w:rsidR="00765E92" w:rsidRDefault="00765E92" w:rsidP="007505AF"/>
    <w:p w:rsidR="00765E92" w:rsidRPr="005C163C" w:rsidRDefault="00765E92" w:rsidP="007505AF"/>
    <w:p w:rsidR="00765E92" w:rsidRDefault="00765E92" w:rsidP="007505AF">
      <w:pPr>
        <w:tabs>
          <w:tab w:val="left" w:pos="7780"/>
        </w:tabs>
        <w:rPr>
          <w:b/>
          <w:sz w:val="10"/>
          <w:szCs w:val="10"/>
        </w:rPr>
      </w:pPr>
    </w:p>
    <w:p w:rsidR="00765E92" w:rsidRDefault="00765E92" w:rsidP="007505AF">
      <w:pPr>
        <w:tabs>
          <w:tab w:val="left" w:pos="7780"/>
        </w:tabs>
        <w:rPr>
          <w:b/>
          <w:sz w:val="10"/>
          <w:szCs w:val="10"/>
        </w:rPr>
      </w:pPr>
    </w:p>
    <w:p w:rsidR="00765E92" w:rsidRDefault="00765E92" w:rsidP="007505AF">
      <w:pPr>
        <w:tabs>
          <w:tab w:val="left" w:pos="7780"/>
        </w:tabs>
        <w:rPr>
          <w:b/>
          <w:sz w:val="10"/>
          <w:szCs w:val="10"/>
        </w:rPr>
      </w:pPr>
    </w:p>
    <w:p w:rsidR="00765E92" w:rsidRDefault="00765E92" w:rsidP="007505AF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765E92" w:rsidRPr="00607879" w:rsidRDefault="00765E92" w:rsidP="007505AF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         </w:t>
      </w:r>
      <w:r w:rsidRPr="005C163C">
        <w:rPr>
          <w:b/>
        </w:rPr>
        <w:t>А.Бабюк</w:t>
      </w:r>
    </w:p>
    <w:sectPr w:rsidR="00765E92" w:rsidRPr="00607879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23A" w:rsidRDefault="005B523A">
      <w:r>
        <w:separator/>
      </w:r>
    </w:p>
  </w:endnote>
  <w:endnote w:type="continuationSeparator" w:id="0">
    <w:p w:rsidR="005B523A" w:rsidRDefault="005B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23A" w:rsidRDefault="005B523A">
      <w:r>
        <w:separator/>
      </w:r>
    </w:p>
  </w:footnote>
  <w:footnote w:type="continuationSeparator" w:id="0">
    <w:p w:rsidR="005B523A" w:rsidRDefault="005B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E92" w:rsidRDefault="00765E92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65E92" w:rsidRDefault="00765E92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E92" w:rsidRDefault="00765E92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765E92" w:rsidRPr="00A3056D" w:rsidRDefault="00765E92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765E92" w:rsidRDefault="00765E92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B72106">
      <w:rPr>
        <w:rStyle w:val="aa"/>
        <w:noProof/>
      </w:rPr>
      <w:t>3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27F62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454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FE1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1ACB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1F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1E04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4F2D"/>
    <w:rsid w:val="00235060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1D35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482A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37FC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9F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561C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A91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44B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4F23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967E2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523A"/>
    <w:rsid w:val="005B6BD1"/>
    <w:rsid w:val="005B6F14"/>
    <w:rsid w:val="005B74C1"/>
    <w:rsid w:val="005B77D4"/>
    <w:rsid w:val="005C0A53"/>
    <w:rsid w:val="005C0D7D"/>
    <w:rsid w:val="005C10D5"/>
    <w:rsid w:val="005C15CC"/>
    <w:rsid w:val="005C163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0B8"/>
    <w:rsid w:val="006056DC"/>
    <w:rsid w:val="00606523"/>
    <w:rsid w:val="00607879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18F2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D7A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3AE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46D2"/>
    <w:rsid w:val="006C563C"/>
    <w:rsid w:val="006C596F"/>
    <w:rsid w:val="006D10C3"/>
    <w:rsid w:val="006D124C"/>
    <w:rsid w:val="006D1B73"/>
    <w:rsid w:val="006D28B5"/>
    <w:rsid w:val="006D30E6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0892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5AF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5E92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17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4B7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377B3"/>
    <w:rsid w:val="0094180C"/>
    <w:rsid w:val="00943169"/>
    <w:rsid w:val="009433EA"/>
    <w:rsid w:val="00943793"/>
    <w:rsid w:val="009443BE"/>
    <w:rsid w:val="00944606"/>
    <w:rsid w:val="00944C32"/>
    <w:rsid w:val="009459F1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5CE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6F8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2305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106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70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2603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5800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2B48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114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3C7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3D7D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6AB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01E8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82B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F527734-4080-4A67-8D76-43CD066A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0881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6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2019-12-13T12:20:00Z</cp:lastPrinted>
  <dcterms:created xsi:type="dcterms:W3CDTF">2019-12-20T10:00:00Z</dcterms:created>
  <dcterms:modified xsi:type="dcterms:W3CDTF">2019-12-20T10:00:00Z</dcterms:modified>
</cp:coreProperties>
</file>