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8D290F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    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EF16A7"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  </w:t>
      </w:r>
      <w:r w:rsidR="00B5227B">
        <w:rPr>
          <w:b/>
          <w:sz w:val="28"/>
          <w:szCs w:val="28"/>
          <w:lang w:val="uk-UA"/>
        </w:rPr>
        <w:t xml:space="preserve">           </w:t>
      </w:r>
      <w:r w:rsidR="00166A7B" w:rsidRPr="006F3713">
        <w:rPr>
          <w:b/>
          <w:sz w:val="28"/>
          <w:szCs w:val="28"/>
          <w:lang w:val="uk-UA"/>
        </w:rPr>
        <w:t xml:space="preserve">  </w:t>
      </w:r>
      <w:r w:rsidR="00166A7B" w:rsidRPr="00AF127A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8D290F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D290F" w:rsidRPr="008D290F" w:rsidRDefault="008D290F" w:rsidP="008D290F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8D290F">
              <w:rPr>
                <w:b/>
                <w:sz w:val="27"/>
                <w:szCs w:val="27"/>
                <w:lang w:val="uk-UA"/>
              </w:rPr>
              <w:t>Про внесення змін до рішення виконавчого комітету міської ради</w:t>
            </w:r>
          </w:p>
          <w:p w:rsidR="00370EC0" w:rsidRPr="00AF127A" w:rsidRDefault="008D290F" w:rsidP="008D290F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8D290F">
              <w:rPr>
                <w:b/>
                <w:sz w:val="27"/>
                <w:szCs w:val="27"/>
                <w:lang w:val="uk-UA"/>
              </w:rPr>
              <w:t>від 30.05.2017 року № 273/11 «Про затвердження Переліку місць та схеми розміщення пересувних тимчасових споруд з розливу питної води в м. Чернівцях»</w:t>
            </w:r>
          </w:p>
          <w:p w:rsidR="00B1199A" w:rsidRPr="00AF127A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582C93" w:rsidRPr="00AF127A" w:rsidRDefault="00AF127A" w:rsidP="00AF127A">
      <w:pPr>
        <w:ind w:firstLine="720"/>
        <w:jc w:val="both"/>
        <w:rPr>
          <w:b/>
          <w:sz w:val="27"/>
          <w:szCs w:val="27"/>
          <w:lang w:val="uk-UA"/>
        </w:rPr>
      </w:pPr>
      <w:r w:rsidRPr="00AF127A">
        <w:rPr>
          <w:sz w:val="27"/>
          <w:szCs w:val="27"/>
          <w:lang w:val="uk-UA"/>
        </w:rPr>
        <w:t xml:space="preserve">Відповідно до статей </w:t>
      </w:r>
      <w:r w:rsidR="001A3654">
        <w:rPr>
          <w:sz w:val="28"/>
          <w:szCs w:val="28"/>
          <w:lang w:val="uk-UA"/>
        </w:rPr>
        <w:t xml:space="preserve">31, </w:t>
      </w:r>
      <w:r w:rsidRPr="00AF127A">
        <w:rPr>
          <w:sz w:val="27"/>
          <w:szCs w:val="27"/>
          <w:lang w:val="uk-UA"/>
        </w:rPr>
        <w:t xml:space="preserve">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</w:t>
      </w:r>
      <w:r w:rsidR="006778B8">
        <w:rPr>
          <w:sz w:val="27"/>
          <w:szCs w:val="27"/>
          <w:lang w:val="uk-UA"/>
        </w:rPr>
        <w:t xml:space="preserve">                      </w:t>
      </w:r>
      <w:r w:rsidRPr="00AF127A">
        <w:rPr>
          <w:sz w:val="27"/>
          <w:szCs w:val="27"/>
          <w:lang w:val="uk-UA"/>
        </w:rPr>
        <w:t xml:space="preserve">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звернення гр. </w:t>
      </w:r>
      <w:r w:rsidR="001A3654">
        <w:rPr>
          <w:sz w:val="27"/>
          <w:szCs w:val="27"/>
          <w:lang w:val="uk-UA"/>
        </w:rPr>
        <w:t>Вовк О.К</w:t>
      </w:r>
      <w:r w:rsidRPr="00AF127A">
        <w:rPr>
          <w:sz w:val="27"/>
          <w:szCs w:val="27"/>
          <w:lang w:val="uk-UA"/>
        </w:rPr>
        <w:t xml:space="preserve">. від </w:t>
      </w:r>
      <w:r w:rsidR="001A3654">
        <w:rPr>
          <w:sz w:val="27"/>
          <w:szCs w:val="27"/>
          <w:lang w:val="uk-UA"/>
        </w:rPr>
        <w:t>12.11</w:t>
      </w:r>
      <w:r w:rsidRPr="00AF127A">
        <w:rPr>
          <w:sz w:val="27"/>
          <w:szCs w:val="27"/>
          <w:lang w:val="uk-UA"/>
        </w:rPr>
        <w:t>.2018р.,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9156A" w:rsidRDefault="008D290F" w:rsidP="008D290F">
      <w:pPr>
        <w:pStyle w:val="a9"/>
        <w:numPr>
          <w:ilvl w:val="0"/>
          <w:numId w:val="3"/>
        </w:numPr>
        <w:tabs>
          <w:tab w:val="clear" w:pos="1947"/>
          <w:tab w:val="num" w:pos="85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8D290F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Внести зміни до рішення виконавчого комітету міської ради  </w:t>
      </w: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                 </w:t>
      </w:r>
      <w:r w:rsidRPr="008D290F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від 30.05.2017 року № 273/11</w:t>
      </w:r>
      <w:r w:rsidRPr="008D290F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«Про затвердження Переліку місць та схеми розміщення пересувних тимчасових</w:t>
      </w: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споруд з розливу питної води в</w:t>
      </w:r>
      <w:r w:rsidRPr="008D290F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="00CC4361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                                </w:t>
      </w:r>
      <w:r w:rsidRPr="008D290F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м. Чернівцях», доповнивши Перелік такими адресами:  </w:t>
      </w:r>
    </w:p>
    <w:p w:rsidR="00703FA8" w:rsidRDefault="00CC4361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Вул. </w:t>
      </w:r>
      <w:r w:rsidR="00703FA8">
        <w:rPr>
          <w:rFonts w:ascii="Times New Roman" w:eastAsia="Times New Roman" w:hAnsi="Times New Roman"/>
          <w:sz w:val="27"/>
          <w:szCs w:val="27"/>
          <w:lang w:val="uk-UA" w:eastAsia="ru-RU"/>
        </w:rPr>
        <w:t>Авангардна, 43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Авангардна, 55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Вірменська, 20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Воробкевича Сидора, 1-А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Головна, 189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Головна, 204-Г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Горького Миколи, 26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Гончарова Івана, 15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Комарова Володимира, 29-В</w:t>
      </w:r>
    </w:p>
    <w:p w:rsidR="00703FA8" w:rsidRDefault="00703FA8" w:rsidP="00703FA8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Комарова Володимира, 31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Першотравнева, 18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Руданського Степана, 42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Руська, 273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Руська, 287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Сагайдачного Петра гетьмана, 38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lastRenderedPageBreak/>
        <w:t>Вул. Трепка Владислава, 2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Франка Івана, 26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Хмельницького Богдана, 7</w:t>
      </w:r>
    </w:p>
    <w:p w:rsidR="00703FA8" w:rsidRDefault="00703FA8" w:rsidP="00CC4361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sz w:val="27"/>
          <w:szCs w:val="27"/>
          <w:lang w:val="uk-UA" w:eastAsia="ru-RU"/>
        </w:rPr>
        <w:t>Вул. Щербанюка Олександра, 31-А</w:t>
      </w:r>
    </w:p>
    <w:p w:rsidR="001A3654" w:rsidRPr="001A3654" w:rsidRDefault="001A3654" w:rsidP="001A3654">
      <w:pPr>
        <w:ind w:left="709"/>
        <w:jc w:val="both"/>
        <w:rPr>
          <w:sz w:val="27"/>
          <w:szCs w:val="27"/>
          <w:lang w:val="uk-UA"/>
        </w:rPr>
      </w:pPr>
    </w:p>
    <w:p w:rsidR="001D3DE7" w:rsidRPr="00AF127A" w:rsidRDefault="006778B8" w:rsidP="006778B8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2</w:t>
      </w:r>
      <w:r w:rsidR="006D23D0" w:rsidRPr="00AF127A">
        <w:rPr>
          <w:b/>
          <w:color w:val="000000"/>
          <w:sz w:val="27"/>
          <w:szCs w:val="27"/>
          <w:lang w:val="uk-UA"/>
        </w:rPr>
        <w:t>.</w:t>
      </w:r>
      <w:r w:rsidR="006D23D0" w:rsidRPr="00AF127A">
        <w:rPr>
          <w:color w:val="000000"/>
          <w:sz w:val="27"/>
          <w:szCs w:val="27"/>
          <w:lang w:val="uk-UA"/>
        </w:rPr>
        <w:t xml:space="preserve"> Рішення набирає чинності з дня його оприлюднення на офіційному </w:t>
      </w:r>
      <w:r w:rsidR="00EF16A7">
        <w:rPr>
          <w:color w:val="000000"/>
          <w:sz w:val="27"/>
          <w:szCs w:val="27"/>
          <w:lang w:val="uk-UA"/>
        </w:rPr>
        <w:t xml:space="preserve">                </w:t>
      </w:r>
      <w:r w:rsidR="006D23D0" w:rsidRPr="00AF127A">
        <w:rPr>
          <w:color w:val="000000"/>
          <w:sz w:val="27"/>
          <w:szCs w:val="27"/>
          <w:lang w:val="uk-UA"/>
        </w:rPr>
        <w:t>веб-порталі Чернівецької міської ради.</w:t>
      </w:r>
    </w:p>
    <w:p w:rsidR="001D3DE7" w:rsidRPr="00AF127A" w:rsidRDefault="006778B8" w:rsidP="006778B8">
      <w:pPr>
        <w:spacing w:before="240"/>
        <w:ind w:firstLine="720"/>
        <w:jc w:val="both"/>
        <w:rPr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3</w:t>
      </w:r>
      <w:r w:rsidR="00A9156A" w:rsidRPr="00AF127A">
        <w:rPr>
          <w:b/>
          <w:color w:val="000000"/>
          <w:sz w:val="27"/>
          <w:szCs w:val="27"/>
          <w:lang w:val="uk-UA"/>
        </w:rPr>
        <w:t xml:space="preserve">. </w:t>
      </w:r>
      <w:r w:rsidR="006D23D0" w:rsidRPr="00AF127A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7"/>
          <w:szCs w:val="27"/>
          <w:lang w:val="uk-UA"/>
        </w:rPr>
        <w:t xml:space="preserve"> Середюка В.Б.</w:t>
      </w: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D10F7" w:rsidRDefault="00ED10F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D10F7" w:rsidRPr="001333E2" w:rsidRDefault="00ED10F7" w:rsidP="00ED10F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822760" w:rsidRPr="00AF127A" w:rsidRDefault="00822760" w:rsidP="00ED10F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822760" w:rsidRPr="00AF127A" w:rsidSect="00AF127A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053" w:rsidRDefault="00714053" w:rsidP="00582C93">
      <w:r>
        <w:separator/>
      </w:r>
    </w:p>
  </w:endnote>
  <w:endnote w:type="continuationSeparator" w:id="0">
    <w:p w:rsidR="00714053" w:rsidRDefault="0071405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053" w:rsidRDefault="00714053" w:rsidP="00582C93">
      <w:r>
        <w:separator/>
      </w:r>
    </w:p>
  </w:footnote>
  <w:footnote w:type="continuationSeparator" w:id="0">
    <w:p w:rsidR="00714053" w:rsidRDefault="0071405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7B7C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A3654"/>
    <w:rsid w:val="001D3DE7"/>
    <w:rsid w:val="001E51C6"/>
    <w:rsid w:val="001F238A"/>
    <w:rsid w:val="00200E7A"/>
    <w:rsid w:val="00244ED8"/>
    <w:rsid w:val="002460A8"/>
    <w:rsid w:val="0027396A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960B5"/>
    <w:rsid w:val="003E12AC"/>
    <w:rsid w:val="003E7D45"/>
    <w:rsid w:val="00401318"/>
    <w:rsid w:val="004036BF"/>
    <w:rsid w:val="004238D7"/>
    <w:rsid w:val="004369B0"/>
    <w:rsid w:val="00464CD8"/>
    <w:rsid w:val="00474F4F"/>
    <w:rsid w:val="00485415"/>
    <w:rsid w:val="004A4ECF"/>
    <w:rsid w:val="004C783B"/>
    <w:rsid w:val="004D60D1"/>
    <w:rsid w:val="004E3682"/>
    <w:rsid w:val="00564B38"/>
    <w:rsid w:val="00582C93"/>
    <w:rsid w:val="0059324E"/>
    <w:rsid w:val="00593E5A"/>
    <w:rsid w:val="005A49F9"/>
    <w:rsid w:val="005A5C7A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78B8"/>
    <w:rsid w:val="00696090"/>
    <w:rsid w:val="006C27BA"/>
    <w:rsid w:val="006D23D0"/>
    <w:rsid w:val="006D3D93"/>
    <w:rsid w:val="006D6F4E"/>
    <w:rsid w:val="006F3713"/>
    <w:rsid w:val="00703FA8"/>
    <w:rsid w:val="00714053"/>
    <w:rsid w:val="007218E1"/>
    <w:rsid w:val="0075595A"/>
    <w:rsid w:val="00761FC1"/>
    <w:rsid w:val="007701B7"/>
    <w:rsid w:val="00787B7C"/>
    <w:rsid w:val="00793BD5"/>
    <w:rsid w:val="007D0A6D"/>
    <w:rsid w:val="00812966"/>
    <w:rsid w:val="008138A6"/>
    <w:rsid w:val="00822760"/>
    <w:rsid w:val="00853109"/>
    <w:rsid w:val="0085677C"/>
    <w:rsid w:val="00876D44"/>
    <w:rsid w:val="00881416"/>
    <w:rsid w:val="008825D5"/>
    <w:rsid w:val="008B077A"/>
    <w:rsid w:val="008B0E3F"/>
    <w:rsid w:val="008D290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9156A"/>
    <w:rsid w:val="00A94666"/>
    <w:rsid w:val="00A9680D"/>
    <w:rsid w:val="00AB0843"/>
    <w:rsid w:val="00AB3FD0"/>
    <w:rsid w:val="00AC2727"/>
    <w:rsid w:val="00AE36D0"/>
    <w:rsid w:val="00AE7A8E"/>
    <w:rsid w:val="00AF127A"/>
    <w:rsid w:val="00B0042B"/>
    <w:rsid w:val="00B1199A"/>
    <w:rsid w:val="00B5227B"/>
    <w:rsid w:val="00B56C87"/>
    <w:rsid w:val="00B66951"/>
    <w:rsid w:val="00B86643"/>
    <w:rsid w:val="00BC6F11"/>
    <w:rsid w:val="00BF01A5"/>
    <w:rsid w:val="00C05EF7"/>
    <w:rsid w:val="00C12012"/>
    <w:rsid w:val="00C36ED0"/>
    <w:rsid w:val="00C52E7D"/>
    <w:rsid w:val="00C57DBE"/>
    <w:rsid w:val="00C76D8F"/>
    <w:rsid w:val="00C962A8"/>
    <w:rsid w:val="00CA3AEF"/>
    <w:rsid w:val="00CA62B5"/>
    <w:rsid w:val="00CB438A"/>
    <w:rsid w:val="00CC055C"/>
    <w:rsid w:val="00CC4361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743DF"/>
    <w:rsid w:val="00E76646"/>
    <w:rsid w:val="00E93EF2"/>
    <w:rsid w:val="00EA0F82"/>
    <w:rsid w:val="00EB297A"/>
    <w:rsid w:val="00ED10F7"/>
    <w:rsid w:val="00EE5ACF"/>
    <w:rsid w:val="00EF16A7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5CD39A-7CB5-4735-8238-745651D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2019-03-14T14:35:00Z</cp:lastPrinted>
  <dcterms:created xsi:type="dcterms:W3CDTF">2019-06-24T11:34:00Z</dcterms:created>
  <dcterms:modified xsi:type="dcterms:W3CDTF">2019-06-24T11:34:00Z</dcterms:modified>
</cp:coreProperties>
</file>