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A85B9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4B00D6" w:rsidP="008816F2">
      <w:pPr>
        <w:widowControl/>
        <w:jc w:val="both"/>
        <w:rPr>
          <w:sz w:val="28"/>
          <w:szCs w:val="28"/>
        </w:rPr>
      </w:pPr>
      <w:r w:rsidRPr="004B00D6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AE7259">
        <w:rPr>
          <w:sz w:val="28"/>
          <w:szCs w:val="28"/>
        </w:rPr>
        <w:t xml:space="preserve">      </w:t>
      </w:r>
      <w:r w:rsidR="005B0EB3">
        <w:rPr>
          <w:sz w:val="28"/>
          <w:szCs w:val="28"/>
        </w:rPr>
        <w:t xml:space="preserve">   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EF3F6B" w:rsidRDefault="00C4040D" w:rsidP="003B7F1F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4B00D6">
        <w:t>ня</w:t>
      </w:r>
      <w:r w:rsidR="001A53C0">
        <w:t xml:space="preserve"> </w:t>
      </w:r>
      <w:r w:rsidR="001A2027">
        <w:t>фізичн</w:t>
      </w:r>
      <w:r w:rsidR="003B7F1F">
        <w:t>ої</w:t>
      </w:r>
      <w:r w:rsidR="00DB3B8A">
        <w:t xml:space="preserve"> </w:t>
      </w:r>
      <w:r w:rsidR="008A17CC">
        <w:t>ос</w:t>
      </w:r>
      <w:r w:rsidR="003B7F1F">
        <w:t>о</w:t>
      </w:r>
      <w:r w:rsidR="00700763">
        <w:t>б</w:t>
      </w:r>
      <w:r w:rsidR="003B7F1F">
        <w:t>и – підприємця Грицька О.І.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4B00D6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заяв</w:t>
      </w:r>
      <w:r w:rsidR="003B7F1F">
        <w:rPr>
          <w:sz w:val="28"/>
          <w:szCs w:val="28"/>
        </w:rPr>
        <w:t>у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</w:t>
      </w:r>
      <w:r w:rsidR="003B7F1F">
        <w:rPr>
          <w:bCs/>
          <w:sz w:val="28"/>
          <w:szCs w:val="28"/>
        </w:rPr>
        <w:t>ої</w:t>
      </w:r>
      <w:r w:rsidR="00586389">
        <w:rPr>
          <w:bCs/>
          <w:sz w:val="28"/>
          <w:szCs w:val="28"/>
        </w:rPr>
        <w:t xml:space="preserve"> ос</w:t>
      </w:r>
      <w:r w:rsidR="003B7F1F">
        <w:rPr>
          <w:bCs/>
          <w:sz w:val="28"/>
          <w:szCs w:val="28"/>
        </w:rPr>
        <w:t>о</w:t>
      </w:r>
      <w:r w:rsidR="00586389">
        <w:rPr>
          <w:bCs/>
          <w:sz w:val="28"/>
          <w:szCs w:val="28"/>
        </w:rPr>
        <w:t>б</w:t>
      </w:r>
      <w:r w:rsidR="003B7F1F">
        <w:rPr>
          <w:bCs/>
          <w:sz w:val="28"/>
          <w:szCs w:val="28"/>
        </w:rPr>
        <w:t xml:space="preserve">и – підприємця Грицька О.І. </w:t>
      </w:r>
      <w:r w:rsidR="003B7F1F" w:rsidRPr="007A4ED3">
        <w:rPr>
          <w:bCs/>
          <w:sz w:val="28"/>
          <w:szCs w:val="28"/>
        </w:rPr>
        <w:t>від</w:t>
      </w:r>
      <w:r w:rsidR="003B7F1F">
        <w:rPr>
          <w:bCs/>
          <w:sz w:val="28"/>
          <w:szCs w:val="28"/>
        </w:rPr>
        <w:t xml:space="preserve"> </w:t>
      </w:r>
      <w:r w:rsidR="007A4ED3">
        <w:rPr>
          <w:bCs/>
          <w:sz w:val="28"/>
          <w:szCs w:val="28"/>
        </w:rPr>
        <w:t>12.11.2018р.</w:t>
      </w:r>
      <w:r w:rsidR="003B7F1F">
        <w:rPr>
          <w:bCs/>
          <w:sz w:val="28"/>
          <w:szCs w:val="28"/>
        </w:rPr>
        <w:t xml:space="preserve"> №</w:t>
      </w:r>
      <w:r w:rsidR="007A4ED3">
        <w:rPr>
          <w:bCs/>
          <w:sz w:val="28"/>
          <w:szCs w:val="28"/>
        </w:rPr>
        <w:t xml:space="preserve"> Г-967/0-02/01</w:t>
      </w:r>
      <w:r w:rsidR="00586389">
        <w:rPr>
          <w:sz w:val="28"/>
          <w:szCs w:val="28"/>
        </w:rPr>
        <w:t>, враховуючи виснов</w:t>
      </w:r>
      <w:r w:rsidR="004B00D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3B7F1F">
        <w:rPr>
          <w:sz w:val="28"/>
          <w:szCs w:val="28"/>
        </w:rPr>
        <w:t xml:space="preserve"> від 20.10.2017р.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</w:t>
      </w:r>
      <w:r w:rsidR="005B0EB3">
        <w:rPr>
          <w:sz w:val="28"/>
          <w:szCs w:val="28"/>
        </w:rPr>
        <w:t>,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Pr="004B00D6" w:rsidRDefault="00CB1B1F" w:rsidP="00586389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B5409A">
        <w:t>а</w:t>
      </w:r>
      <w:r w:rsidR="00586389">
        <w:t xml:space="preserve"> оренди за рахунок власних коштів, відповідно до кошторис</w:t>
      </w:r>
      <w:r w:rsidR="00B5409A">
        <w:t>у</w:t>
      </w:r>
      <w:r w:rsidR="00586389">
        <w:t xml:space="preserve"> і в межах сум</w:t>
      </w:r>
      <w:r w:rsidR="00B5409A">
        <w:t>и</w:t>
      </w:r>
      <w:r w:rsidR="00586389">
        <w:t>, затверджен</w:t>
      </w:r>
      <w:r w:rsidR="00B5409A">
        <w:t>ої</w:t>
      </w:r>
      <w:r w:rsidR="00586389">
        <w:t xml:space="preserve"> департаментом економіки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4B00D6">
        <w:rPr>
          <w:b/>
          <w:bCs/>
        </w:rPr>
        <w:t>фізичній особі – підприємцю</w:t>
      </w:r>
      <w:r w:rsidR="004B00D6" w:rsidRPr="003E5DA8">
        <w:rPr>
          <w:b/>
          <w:bCs/>
        </w:rPr>
        <w:t xml:space="preserve"> </w:t>
      </w:r>
      <w:r w:rsidR="004B00D6">
        <w:rPr>
          <w:b/>
          <w:bCs/>
        </w:rPr>
        <w:t xml:space="preserve">Грицьку Олександру Івановичу </w:t>
      </w:r>
      <w:r w:rsidR="004B00D6" w:rsidRPr="003E5DA8">
        <w:t>(</w:t>
      </w:r>
      <w:r w:rsidR="004B00D6">
        <w:t xml:space="preserve">РНОКПП </w:t>
      </w:r>
      <w:r w:rsidR="006E49BD">
        <w:t>…</w:t>
      </w:r>
      <w:r w:rsidR="004B00D6" w:rsidRPr="003E5DA8">
        <w:t>) за адресою</w:t>
      </w:r>
      <w:r w:rsidR="004B00D6">
        <w:t xml:space="preserve"> провул. Буковинський, 28</w:t>
      </w:r>
      <w:r w:rsidR="004B00D6" w:rsidRPr="003E5DA8">
        <w:t xml:space="preserve"> </w:t>
      </w:r>
      <w:r w:rsidR="004B00D6" w:rsidRPr="00AD1EC0">
        <w:t>(</w:t>
      </w:r>
      <w:r w:rsidR="004B00D6">
        <w:t xml:space="preserve">автомайстерня) </w:t>
      </w:r>
      <w:r w:rsidR="004B00D6" w:rsidRPr="00AD1EC0">
        <w:t>у межах суми</w:t>
      </w:r>
      <w:r w:rsidR="004B00D6">
        <w:t xml:space="preserve"> </w:t>
      </w:r>
      <w:r w:rsidR="004B00D6">
        <w:rPr>
          <w:b/>
        </w:rPr>
        <w:t>192033</w:t>
      </w:r>
      <w:r w:rsidR="004B00D6" w:rsidRPr="00D75663">
        <w:rPr>
          <w:b/>
        </w:rPr>
        <w:t xml:space="preserve"> (</w:t>
      </w:r>
      <w:r w:rsidR="004B00D6">
        <w:rPr>
          <w:b/>
        </w:rPr>
        <w:t>сто дев’яносто дві тисячі</w:t>
      </w:r>
      <w:r w:rsidR="004B00D6" w:rsidRPr="00D75663">
        <w:rPr>
          <w:b/>
        </w:rPr>
        <w:t xml:space="preserve"> </w:t>
      </w:r>
      <w:r w:rsidR="004B00D6">
        <w:rPr>
          <w:b/>
        </w:rPr>
        <w:t>тридцять три</w:t>
      </w:r>
      <w:r w:rsidR="004B00D6" w:rsidRPr="00D75663">
        <w:rPr>
          <w:b/>
        </w:rPr>
        <w:t>)</w:t>
      </w:r>
      <w:r w:rsidR="004B00D6" w:rsidRPr="00AD1EC0">
        <w:t xml:space="preserve"> </w:t>
      </w:r>
      <w:r w:rsidR="004B00D6">
        <w:t>грн. (договір оренди нерухомого майна від 12.07.2013р. №213/К та додатковий договір від 20.07.2016р. №1)</w:t>
      </w:r>
      <w:r w:rsidR="005B0EB3">
        <w:t xml:space="preserve">, </w:t>
      </w:r>
      <w:r w:rsidR="00586389">
        <w:t>згідно з додатком</w:t>
      </w:r>
      <w:r w:rsidR="00B5409A">
        <w:rPr>
          <w:bCs/>
        </w:rPr>
        <w:t>.</w:t>
      </w:r>
    </w:p>
    <w:p w:rsidR="005B0EB3" w:rsidRDefault="00586389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586389" w:rsidRDefault="00C4040D" w:rsidP="00586389">
      <w:pPr>
        <w:pStyle w:val="20"/>
        <w:tabs>
          <w:tab w:val="left" w:pos="709"/>
        </w:tabs>
      </w:pPr>
      <w:r>
        <w:t xml:space="preserve">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</w:t>
      </w:r>
      <w:r w:rsidR="005B0EB3">
        <w:t xml:space="preserve">ю </w:t>
      </w:r>
      <w:r w:rsidR="00B5409A">
        <w:t>у</w:t>
      </w:r>
      <w:r w:rsidR="00586389">
        <w:t xml:space="preserve">класти договори зі спеціалізованими організаціями на вивіз будівельного сміття. </w:t>
      </w:r>
    </w:p>
    <w:p w:rsidR="00586389" w:rsidRPr="00566FAD" w:rsidRDefault="00586389" w:rsidP="00586389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4B00D6" w:rsidRDefault="00586389" w:rsidP="004B00D6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економіки міської ради за умови прийняття за акт</w:t>
      </w:r>
      <w:r w:rsidR="00B5409A">
        <w:t>ом</w:t>
      </w:r>
      <w:r>
        <w:t xml:space="preserve">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</w:t>
      </w:r>
      <w:r w:rsidR="00B5409A">
        <w:t>ем</w:t>
      </w:r>
      <w:r>
        <w:t xml:space="preserve"> розрахунки за виконані роботи та придбані будівельні матеріали, врахувати ці витрати у межах </w:t>
      </w:r>
      <w:r w:rsidRPr="0037195A">
        <w:lastRenderedPageBreak/>
        <w:t>сум</w:t>
      </w:r>
      <w:r w:rsidR="00B5409A">
        <w:t>и</w:t>
      </w:r>
      <w:r>
        <w:t>, зазначен</w:t>
      </w:r>
      <w:r w:rsidR="00B5409A">
        <w:t>ої</w:t>
      </w:r>
      <w:r>
        <w:t xml:space="preserve"> 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</w:t>
      </w:r>
      <w:r w:rsidR="00B5409A">
        <w:rPr>
          <w:b/>
        </w:rPr>
        <w:t>а</w:t>
      </w:r>
      <w:r w:rsidR="001A2027">
        <w:rPr>
          <w:b/>
        </w:rPr>
        <w:t xml:space="preserve"> орендар</w:t>
      </w:r>
      <w:r w:rsidR="00B5409A">
        <w:rPr>
          <w:b/>
        </w:rPr>
        <w:t>ем</w:t>
      </w:r>
      <w:r w:rsidR="00CD65C2" w:rsidRPr="00C06850">
        <w:t>.</w:t>
      </w:r>
    </w:p>
    <w:p w:rsidR="004B00D6" w:rsidRDefault="004B00D6" w:rsidP="004B00D6">
      <w:pPr>
        <w:pStyle w:val="20"/>
        <w:tabs>
          <w:tab w:val="left" w:pos="709"/>
        </w:tabs>
      </w:pPr>
    </w:p>
    <w:p w:rsidR="00183C68" w:rsidRDefault="003B7F1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B7F1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B5409A" w:rsidRDefault="00B5409A" w:rsidP="00C4040D">
      <w:pPr>
        <w:widowControl/>
        <w:jc w:val="both"/>
      </w:pP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AF7DF3" w:rsidRDefault="00AF7DF3">
      <w:pPr>
        <w:sectPr w:rsidR="00AF7DF3" w:rsidSect="00AE7259">
          <w:headerReference w:type="even" r:id="rId8"/>
          <w:headerReference w:type="default" r:id="rId9"/>
          <w:footerReference w:type="default" r:id="rId10"/>
          <w:pgSz w:w="11907" w:h="16840" w:code="9"/>
          <w:pgMar w:top="1134" w:right="567" w:bottom="1134" w:left="1134" w:header="709" w:footer="709" w:gutter="567"/>
          <w:pgNumType w:start="1"/>
          <w:cols w:space="709"/>
          <w:titlePg/>
        </w:sectPr>
      </w:pPr>
    </w:p>
    <w:p w:rsidR="00AF7DF3" w:rsidRPr="00001A5D" w:rsidRDefault="00AF7DF3" w:rsidP="00AF7DF3">
      <w:pPr>
        <w:pStyle w:val="a6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F7DF3" w:rsidRPr="00001A5D" w:rsidRDefault="00AF7DF3" w:rsidP="00AF7DF3">
      <w:pPr>
        <w:pStyle w:val="a6"/>
        <w:rPr>
          <w:b/>
          <w:sz w:val="28"/>
          <w:szCs w:val="28"/>
          <w:lang w:val="uk-UA"/>
        </w:rPr>
      </w:pPr>
    </w:p>
    <w:p w:rsidR="00AF7DF3" w:rsidRPr="00001A5D" w:rsidRDefault="00AF7DF3" w:rsidP="00AF7DF3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</w:p>
    <w:p w:rsidR="00AF7DF3" w:rsidRPr="00001A5D" w:rsidRDefault="00AF7DF3" w:rsidP="00AF7DF3">
      <w:pPr>
        <w:pStyle w:val="a6"/>
        <w:rPr>
          <w:b/>
          <w:sz w:val="28"/>
          <w:szCs w:val="28"/>
          <w:lang w:val="uk-UA"/>
        </w:rPr>
      </w:pPr>
    </w:p>
    <w:p w:rsidR="00AF7DF3" w:rsidRPr="00001A5D" w:rsidRDefault="00AF7DF3" w:rsidP="00AF7DF3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Додаток</w:t>
      </w:r>
    </w:p>
    <w:p w:rsidR="00AF7DF3" w:rsidRPr="00001A5D" w:rsidRDefault="00AF7DF3" w:rsidP="00AF7DF3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AF7DF3" w:rsidRPr="00001A5D" w:rsidRDefault="00AF7DF3" w:rsidP="00AF7DF3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AF7DF3" w:rsidRPr="00001A5D" w:rsidRDefault="00AF7DF3" w:rsidP="00AF7DF3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u w:val="single"/>
          <w:lang w:val="uk-UA"/>
        </w:rPr>
        <w:t>_________</w:t>
      </w:r>
      <w:r w:rsidRPr="00570BC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_____</w:t>
      </w:r>
    </w:p>
    <w:p w:rsidR="00AF7DF3" w:rsidRPr="00001A5D" w:rsidRDefault="00AF7DF3" w:rsidP="00AF7DF3">
      <w:pPr>
        <w:pStyle w:val="10"/>
      </w:pPr>
    </w:p>
    <w:p w:rsidR="00AF7DF3" w:rsidRPr="00001A5D" w:rsidRDefault="00AF7DF3" w:rsidP="00AF7DF3">
      <w:pPr>
        <w:pStyle w:val="10"/>
      </w:pPr>
      <w:r w:rsidRPr="00001A5D">
        <w:t>ПЕРЕЛІК</w:t>
      </w:r>
    </w:p>
    <w:p w:rsidR="00AF7DF3" w:rsidRPr="0014169F" w:rsidRDefault="00AF7DF3" w:rsidP="00AF7DF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14169F">
        <w:rPr>
          <w:sz w:val="28"/>
          <w:szCs w:val="28"/>
        </w:rPr>
        <w:t>невід’ємних поліпшень об’єкт</w:t>
      </w:r>
      <w:r>
        <w:rPr>
          <w:sz w:val="28"/>
          <w:szCs w:val="28"/>
          <w:lang w:val="uk-UA"/>
        </w:rPr>
        <w:t>а</w:t>
      </w:r>
      <w:r w:rsidRPr="0014169F">
        <w:rPr>
          <w:sz w:val="28"/>
          <w:szCs w:val="28"/>
        </w:rPr>
        <w:t xml:space="preserve"> оренди, на виконання як</w:t>
      </w:r>
      <w:r>
        <w:rPr>
          <w:sz w:val="28"/>
          <w:szCs w:val="28"/>
          <w:lang w:val="uk-UA"/>
        </w:rPr>
        <w:t>ого</w:t>
      </w:r>
      <w:r w:rsidRPr="0014169F">
        <w:rPr>
          <w:sz w:val="28"/>
          <w:szCs w:val="28"/>
        </w:rPr>
        <w:t xml:space="preserve"> надається згода </w:t>
      </w:r>
    </w:p>
    <w:tbl>
      <w:tblPr>
        <w:tblpPr w:leftFromText="180" w:rightFromText="180" w:vertAnchor="page" w:horzAnchor="margin" w:tblpY="414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AF7DF3" w:rsidRPr="00001A5D" w:rsidTr="002A6E21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F7DF3" w:rsidRPr="00001A5D" w:rsidRDefault="00AF7DF3" w:rsidP="002A6E21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F7DF3" w:rsidRPr="00001A5D" w:rsidRDefault="00AF7DF3" w:rsidP="002A6E21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F7DF3" w:rsidRPr="00001A5D" w:rsidTr="002A6E21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AF7DF3" w:rsidRPr="00001A5D" w:rsidTr="002A6E21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Фізична особа – підприємець Грицько Олександр Іванович</w:t>
            </w:r>
            <w:r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провул. Буковинський, 28</w:t>
            </w:r>
          </w:p>
          <w:p w:rsidR="00AF7DF3" w:rsidRPr="00001A5D" w:rsidRDefault="00AF7DF3" w:rsidP="002A6E21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автомайстерня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Default="00AF7DF3" w:rsidP="002A6E21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бетонної основи (неармована)</w:t>
            </w:r>
          </w:p>
          <w:p w:rsidR="00AF7DF3" w:rsidRDefault="00AF7DF3" w:rsidP="002A6E21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Часткова штукатурка стін </w:t>
            </w:r>
          </w:p>
          <w:p w:rsidR="00AF7DF3" w:rsidRDefault="00AF7DF3" w:rsidP="002A6E21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Часткова штукатурка стелі</w:t>
            </w:r>
          </w:p>
          <w:p w:rsidR="00AF7DF3" w:rsidRDefault="00AF7DF3" w:rsidP="002A6E21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 та електрокабелю, що прийшли в непридатність</w:t>
            </w:r>
          </w:p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автономної системи опалення (без відшкодування вартості котла)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Default="00AF7DF3" w:rsidP="002A6E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F7DF3" w:rsidRDefault="00AF7DF3" w:rsidP="002A6E21">
            <w:pPr>
              <w:jc w:val="center"/>
              <w:rPr>
                <w:sz w:val="28"/>
                <w:szCs w:val="28"/>
              </w:rPr>
            </w:pPr>
          </w:p>
          <w:p w:rsidR="00AF7DF3" w:rsidRDefault="00AF7DF3" w:rsidP="002A6E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F7DF3" w:rsidRDefault="00AF7DF3" w:rsidP="002A6E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F7DF3" w:rsidRDefault="00AF7DF3" w:rsidP="002A6E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F7DF3" w:rsidRDefault="00AF7DF3" w:rsidP="002A6E21">
            <w:pPr>
              <w:jc w:val="center"/>
              <w:rPr>
                <w:sz w:val="28"/>
                <w:szCs w:val="28"/>
              </w:rPr>
            </w:pPr>
          </w:p>
          <w:p w:rsidR="00AF7DF3" w:rsidRPr="00001A5D" w:rsidRDefault="00AF7DF3" w:rsidP="002A6E21">
            <w:pPr>
              <w:jc w:val="center"/>
              <w:rPr>
                <w:sz w:val="28"/>
                <w:szCs w:val="28"/>
              </w:rPr>
            </w:pPr>
          </w:p>
          <w:p w:rsidR="00AF7DF3" w:rsidRPr="00001A5D" w:rsidRDefault="00AF7DF3" w:rsidP="002A6E21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54,0</w:t>
            </w:r>
          </w:p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</w:t>
            </w:r>
          </w:p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AF7DF3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AF7DF3" w:rsidRPr="00001A5D" w:rsidRDefault="00AF7DF3" w:rsidP="002A6E21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15,499</w:t>
            </w:r>
          </w:p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5,274</w:t>
            </w:r>
          </w:p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0,882</w:t>
            </w:r>
          </w:p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16,971</w:t>
            </w:r>
          </w:p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F7DF3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153,407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F7DF3" w:rsidRPr="00001A5D" w:rsidTr="002A6E21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192,033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DF3" w:rsidRPr="00001A5D" w:rsidRDefault="00AF7DF3" w:rsidP="002A6E21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F7DF3" w:rsidRDefault="00AF7DF3" w:rsidP="00AF7DF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(</w:t>
      </w:r>
      <w:r w:rsidRPr="00F17004">
        <w:rPr>
          <w:b/>
          <w:sz w:val="28"/>
          <w:szCs w:val="28"/>
        </w:rPr>
        <w:t xml:space="preserve">сто </w:t>
      </w:r>
      <w:r w:rsidRPr="00F17004">
        <w:rPr>
          <w:b/>
          <w:sz w:val="28"/>
          <w:szCs w:val="28"/>
          <w:lang w:val="uk-UA"/>
        </w:rPr>
        <w:t>дев’яносто дві тисячі тридцять</w:t>
      </w:r>
      <w:r w:rsidRPr="00F17004">
        <w:rPr>
          <w:b/>
          <w:sz w:val="28"/>
          <w:szCs w:val="28"/>
        </w:rPr>
        <w:t xml:space="preserve"> три</w:t>
      </w:r>
      <w:r w:rsidRPr="00001A5D">
        <w:rPr>
          <w:b/>
          <w:bCs/>
          <w:sz w:val="28"/>
          <w:szCs w:val="28"/>
          <w:lang w:val="uk-UA"/>
        </w:rPr>
        <w:t xml:space="preserve">) </w:t>
      </w:r>
      <w:r>
        <w:rPr>
          <w:b/>
          <w:bCs/>
          <w:sz w:val="28"/>
          <w:szCs w:val="28"/>
          <w:lang w:val="uk-UA"/>
        </w:rPr>
        <w:t>грн.</w:t>
      </w:r>
    </w:p>
    <w:p w:rsidR="00AF7DF3" w:rsidRDefault="00AF7DF3" w:rsidP="00AF7DF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AF7DF3" w:rsidRPr="00001A5D" w:rsidRDefault="00AF7DF3" w:rsidP="00AF7DF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AF7DF3" w:rsidRPr="00001A5D" w:rsidTr="002A6E2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AF7DF3" w:rsidRDefault="00AF7DF3" w:rsidP="002A6E2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AF7DF3" w:rsidRPr="00001A5D" w:rsidRDefault="00AF7DF3" w:rsidP="002A6E2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7768" w:type="dxa"/>
          </w:tcPr>
          <w:p w:rsidR="00AF7DF3" w:rsidRDefault="00AF7DF3" w:rsidP="002A6E21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 w:rsidR="00AF7DF3" w:rsidRPr="00001A5D" w:rsidRDefault="00AF7DF3" w:rsidP="002A6E21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А.Бабюк</w:t>
            </w:r>
          </w:p>
        </w:tc>
      </w:tr>
    </w:tbl>
    <w:p w:rsidR="00AF7DF3" w:rsidRPr="00001A5D" w:rsidRDefault="00AF7DF3" w:rsidP="00AF7DF3"/>
    <w:p w:rsidR="0016788E" w:rsidRPr="00CE4ADF" w:rsidRDefault="0016788E" w:rsidP="00AF7DF3"/>
    <w:sectPr w:rsidR="0016788E" w:rsidRPr="00CE4ADF" w:rsidSect="00644242">
      <w:headerReference w:type="even" r:id="rId11"/>
      <w:headerReference w:type="default" r:id="rId12"/>
      <w:footerReference w:type="default" r:id="rId13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85E" w:rsidRDefault="0074685E">
      <w:r>
        <w:separator/>
      </w:r>
    </w:p>
  </w:endnote>
  <w:endnote w:type="continuationSeparator" w:id="0">
    <w:p w:rsidR="0074685E" w:rsidRDefault="0074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>
    <w:pPr>
      <w:pStyle w:val="aa"/>
      <w:framePr w:wrap="auto" w:vAnchor="text" w:hAnchor="margin" w:xAlign="right" w:y="1"/>
      <w:rPr>
        <w:rStyle w:val="a8"/>
      </w:rPr>
    </w:pPr>
  </w:p>
  <w:p w:rsidR="00DE3057" w:rsidRDefault="00DE3057">
    <w:pPr>
      <w:pStyle w:val="aa"/>
      <w:framePr w:wrap="auto" w:vAnchor="text" w:hAnchor="margin" w:xAlign="right" w:y="1"/>
      <w:ind w:right="360"/>
      <w:rPr>
        <w:rStyle w:val="a8"/>
      </w:rPr>
    </w:pPr>
  </w:p>
  <w:p w:rsidR="00DE3057" w:rsidRDefault="00DE305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04" w:rsidRDefault="0074685E">
    <w:pPr>
      <w:pStyle w:val="aa"/>
      <w:framePr w:wrap="auto" w:vAnchor="text" w:hAnchor="margin" w:xAlign="right" w:y="1"/>
      <w:rPr>
        <w:rStyle w:val="a8"/>
      </w:rPr>
    </w:pPr>
  </w:p>
  <w:p w:rsidR="00F17004" w:rsidRDefault="0074685E">
    <w:pPr>
      <w:pStyle w:val="aa"/>
      <w:framePr w:wrap="auto" w:vAnchor="text" w:hAnchor="margin" w:xAlign="right" w:y="1"/>
      <w:ind w:right="360"/>
      <w:rPr>
        <w:rStyle w:val="a8"/>
      </w:rPr>
    </w:pPr>
  </w:p>
  <w:p w:rsidR="00F17004" w:rsidRDefault="0074685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85E" w:rsidRDefault="0074685E">
      <w:r>
        <w:separator/>
      </w:r>
    </w:p>
  </w:footnote>
  <w:footnote w:type="continuationSeparator" w:id="0">
    <w:p w:rsidR="0074685E" w:rsidRDefault="00746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3057" w:rsidRDefault="00DE30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85B9B">
      <w:rPr>
        <w:rStyle w:val="a8"/>
        <w:noProof/>
      </w:rPr>
      <w:t>2</w:t>
    </w:r>
    <w:r>
      <w:rPr>
        <w:rStyle w:val="a8"/>
      </w:rPr>
      <w:fldChar w:fldCharType="end"/>
    </w:r>
  </w:p>
  <w:p w:rsidR="00DE3057" w:rsidRPr="0062672E" w:rsidRDefault="00DE3057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04" w:rsidRDefault="0074685E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7004" w:rsidRDefault="0074685E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04" w:rsidRDefault="0074685E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7DF3">
      <w:rPr>
        <w:rStyle w:val="a8"/>
        <w:noProof/>
      </w:rPr>
      <w:t>2</w:t>
    </w:r>
    <w:r>
      <w:rPr>
        <w:rStyle w:val="a8"/>
      </w:rPr>
      <w:fldChar w:fldCharType="end"/>
    </w:r>
  </w:p>
  <w:p w:rsidR="00F17004" w:rsidRPr="0062672E" w:rsidRDefault="0074685E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321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D3226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0CE"/>
    <w:rsid w:val="003B4E2B"/>
    <w:rsid w:val="003B64B6"/>
    <w:rsid w:val="003B7F1F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0D6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0615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241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0EB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49BD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685E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4ED3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85B9B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AF7DF3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409A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3B8A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4409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4647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153EEE"/>
  <w15:chartTrackingRefBased/>
  <w15:docId w15:val="{B17935D2-8465-4B20-82B7-3DF141A3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2019-01-30T07:33:00Z</cp:lastPrinted>
  <dcterms:created xsi:type="dcterms:W3CDTF">2019-02-04T13:45:00Z</dcterms:created>
  <dcterms:modified xsi:type="dcterms:W3CDTF">2019-02-04T13:45:00Z</dcterms:modified>
</cp:coreProperties>
</file>