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3B9" w:rsidRPr="0044695D" w:rsidRDefault="008449D4" w:rsidP="00FF43B9">
      <w:pPr>
        <w:jc w:val="center"/>
        <w:rPr>
          <w:b/>
          <w:sz w:val="30"/>
          <w:lang w:val="uk-UA"/>
        </w:rPr>
      </w:pPr>
      <w:bookmarkStart w:id="0" w:name="_GoBack"/>
      <w:bookmarkEnd w:id="0"/>
      <w:r w:rsidRPr="0044695D">
        <w:rPr>
          <w:b/>
          <w:noProof/>
        </w:rPr>
        <w:drawing>
          <wp:inline distT="0" distB="0" distL="0" distR="0">
            <wp:extent cx="466725" cy="676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76275"/>
                    </a:xfrm>
                    <a:prstGeom prst="rect">
                      <a:avLst/>
                    </a:prstGeom>
                    <a:noFill/>
                    <a:ln>
                      <a:noFill/>
                    </a:ln>
                  </pic:spPr>
                </pic:pic>
              </a:graphicData>
            </a:graphic>
          </wp:inline>
        </w:drawing>
      </w:r>
    </w:p>
    <w:p w:rsidR="00FF43B9" w:rsidRPr="0044695D" w:rsidRDefault="00FF43B9" w:rsidP="00FF43B9">
      <w:pPr>
        <w:jc w:val="center"/>
        <w:rPr>
          <w:rFonts w:ascii="Arial" w:hAnsi="Arial"/>
          <w:b/>
          <w:caps/>
          <w:sz w:val="10"/>
          <w:szCs w:val="10"/>
          <w:lang w:val="uk-UA"/>
        </w:rPr>
      </w:pPr>
    </w:p>
    <w:p w:rsidR="00FF43B9" w:rsidRPr="0044695D" w:rsidRDefault="00FF43B9" w:rsidP="00FF43B9">
      <w:pPr>
        <w:pStyle w:val="1"/>
        <w:outlineLvl w:val="0"/>
        <w:rPr>
          <w:rFonts w:ascii="Times New Roman" w:hAnsi="Times New Roman"/>
          <w:b/>
          <w:sz w:val="36"/>
          <w:szCs w:val="36"/>
        </w:rPr>
      </w:pPr>
      <w:r w:rsidRPr="0044695D">
        <w:rPr>
          <w:rFonts w:ascii="Times New Roman" w:hAnsi="Times New Roman"/>
          <w:b/>
          <w:sz w:val="36"/>
          <w:szCs w:val="36"/>
        </w:rPr>
        <w:t>У К Р А Ї Н А</w:t>
      </w:r>
    </w:p>
    <w:p w:rsidR="00FF43B9" w:rsidRPr="0044695D" w:rsidRDefault="00FF43B9" w:rsidP="00FF43B9">
      <w:pPr>
        <w:jc w:val="center"/>
        <w:rPr>
          <w:b/>
          <w:sz w:val="36"/>
          <w:szCs w:val="36"/>
          <w:lang w:val="uk-UA"/>
        </w:rPr>
      </w:pPr>
      <w:r w:rsidRPr="0044695D">
        <w:rPr>
          <w:b/>
          <w:sz w:val="36"/>
          <w:szCs w:val="36"/>
          <w:lang w:val="uk-UA"/>
        </w:rPr>
        <w:t>Чернівецька міська рада</w:t>
      </w:r>
    </w:p>
    <w:p w:rsidR="00FF43B9" w:rsidRPr="0044695D" w:rsidRDefault="00FF43B9" w:rsidP="00FF43B9">
      <w:pPr>
        <w:jc w:val="center"/>
        <w:rPr>
          <w:b/>
          <w:sz w:val="36"/>
          <w:szCs w:val="36"/>
          <w:lang w:val="uk-UA"/>
        </w:rPr>
      </w:pPr>
      <w:r w:rsidRPr="0044695D">
        <w:rPr>
          <w:b/>
          <w:sz w:val="36"/>
          <w:szCs w:val="36"/>
          <w:lang w:val="uk-UA"/>
        </w:rPr>
        <w:t>Виконавчий комітет</w:t>
      </w:r>
    </w:p>
    <w:p w:rsidR="00FF43B9" w:rsidRPr="0044695D" w:rsidRDefault="00FF43B9" w:rsidP="00FF43B9">
      <w:pPr>
        <w:pStyle w:val="4"/>
        <w:rPr>
          <w:rFonts w:ascii="Times New Roman" w:hAnsi="Times New Roman"/>
          <w:sz w:val="6"/>
          <w:szCs w:val="6"/>
        </w:rPr>
      </w:pPr>
    </w:p>
    <w:p w:rsidR="00FF43B9" w:rsidRPr="0044695D" w:rsidRDefault="00FF43B9" w:rsidP="00FF43B9">
      <w:pPr>
        <w:pStyle w:val="4"/>
        <w:rPr>
          <w:rFonts w:ascii="Times New Roman" w:hAnsi="Times New Roman"/>
        </w:rPr>
      </w:pPr>
      <w:r w:rsidRPr="0044695D">
        <w:rPr>
          <w:rFonts w:ascii="Times New Roman" w:hAnsi="Times New Roman"/>
        </w:rPr>
        <w:t>Р І Ш Е Н Н Я</w:t>
      </w:r>
    </w:p>
    <w:p w:rsidR="00FF43B9" w:rsidRPr="00E43665" w:rsidRDefault="00FF43B9" w:rsidP="00FF43B9">
      <w:pPr>
        <w:rPr>
          <w:sz w:val="28"/>
          <w:szCs w:val="28"/>
          <w:lang w:val="uk-UA" w:eastAsia="uk-UA"/>
        </w:rPr>
      </w:pPr>
    </w:p>
    <w:p w:rsidR="00FF43B9" w:rsidRPr="00D21852" w:rsidRDefault="00FF43B9" w:rsidP="00FF43B9">
      <w:pPr>
        <w:jc w:val="center"/>
        <w:rPr>
          <w:sz w:val="28"/>
          <w:szCs w:val="28"/>
          <w:lang w:val="uk-UA"/>
        </w:rPr>
      </w:pPr>
      <w:r>
        <w:rPr>
          <w:b/>
          <w:sz w:val="28"/>
          <w:szCs w:val="28"/>
          <w:u w:val="single"/>
          <w:lang w:val="uk-UA"/>
        </w:rPr>
        <w:t>______</w:t>
      </w:r>
      <w:r w:rsidRPr="0044695D">
        <w:rPr>
          <w:b/>
          <w:sz w:val="28"/>
          <w:szCs w:val="28"/>
          <w:u w:val="single"/>
          <w:lang w:val="uk-UA"/>
        </w:rPr>
        <w:t>201</w:t>
      </w:r>
      <w:r>
        <w:rPr>
          <w:b/>
          <w:sz w:val="28"/>
          <w:szCs w:val="28"/>
          <w:u w:val="single"/>
          <w:lang w:val="uk-UA"/>
        </w:rPr>
        <w:t>8</w:t>
      </w:r>
      <w:r w:rsidRPr="0044695D">
        <w:rPr>
          <w:sz w:val="28"/>
          <w:szCs w:val="28"/>
          <w:lang w:val="uk-UA"/>
        </w:rPr>
        <w:t xml:space="preserve"> </w:t>
      </w:r>
      <w:r w:rsidRPr="0044695D">
        <w:rPr>
          <w:b/>
          <w:sz w:val="28"/>
          <w:szCs w:val="28"/>
          <w:lang w:val="uk-UA"/>
        </w:rPr>
        <w:t>№</w:t>
      </w:r>
      <w:r>
        <w:rPr>
          <w:b/>
          <w:sz w:val="28"/>
          <w:szCs w:val="28"/>
          <w:lang w:val="uk-UA"/>
        </w:rPr>
        <w:t xml:space="preserve"> </w:t>
      </w:r>
      <w:r>
        <w:rPr>
          <w:b/>
          <w:sz w:val="28"/>
          <w:szCs w:val="28"/>
          <w:u w:val="single"/>
          <w:lang w:val="uk-UA"/>
        </w:rPr>
        <w:t xml:space="preserve">          </w:t>
      </w:r>
      <w:r>
        <w:rPr>
          <w:sz w:val="28"/>
          <w:szCs w:val="28"/>
          <w:lang w:val="uk-UA"/>
        </w:rPr>
        <w:t xml:space="preserve">    </w:t>
      </w:r>
      <w:r w:rsidRPr="0044695D">
        <w:rPr>
          <w:sz w:val="28"/>
          <w:szCs w:val="28"/>
          <w:lang w:val="uk-UA"/>
        </w:rPr>
        <w:t xml:space="preserve">                                                                         </w:t>
      </w:r>
      <w:r>
        <w:rPr>
          <w:sz w:val="28"/>
          <w:szCs w:val="28"/>
          <w:lang w:val="uk-UA"/>
        </w:rPr>
        <w:t xml:space="preserve">   </w:t>
      </w:r>
      <w:r w:rsidRPr="00D21852">
        <w:rPr>
          <w:sz w:val="28"/>
          <w:szCs w:val="28"/>
          <w:lang w:val="uk-UA"/>
        </w:rPr>
        <w:t>м. Чернівці</w:t>
      </w:r>
    </w:p>
    <w:p w:rsidR="00FF43B9" w:rsidRPr="00E43665" w:rsidRDefault="00FF43B9" w:rsidP="00FF43B9">
      <w:pPr>
        <w:jc w:val="both"/>
        <w:rPr>
          <w:b/>
          <w:sz w:val="28"/>
          <w:szCs w:val="28"/>
          <w:lang w:val="uk-UA"/>
        </w:rPr>
      </w:pPr>
    </w:p>
    <w:tbl>
      <w:tblPr>
        <w:tblW w:w="0" w:type="auto"/>
        <w:tblLayout w:type="fixed"/>
        <w:tblLook w:val="0000" w:firstRow="0" w:lastRow="0" w:firstColumn="0" w:lastColumn="0" w:noHBand="0" w:noVBand="0"/>
      </w:tblPr>
      <w:tblGrid>
        <w:gridCol w:w="9464"/>
      </w:tblGrid>
      <w:tr w:rsidR="00FF43B9" w:rsidRPr="0044695D" w:rsidTr="00815D3D">
        <w:trPr>
          <w:trHeight w:val="1003"/>
        </w:trPr>
        <w:tc>
          <w:tcPr>
            <w:tcW w:w="9464" w:type="dxa"/>
          </w:tcPr>
          <w:p w:rsidR="00FF43B9" w:rsidRDefault="00FF43B9" w:rsidP="00815D3D">
            <w:pPr>
              <w:jc w:val="center"/>
              <w:rPr>
                <w:b/>
                <w:sz w:val="28"/>
                <w:szCs w:val="28"/>
                <w:lang w:val="uk-UA"/>
              </w:rPr>
            </w:pPr>
            <w:r>
              <w:rPr>
                <w:b/>
                <w:sz w:val="28"/>
                <w:szCs w:val="28"/>
                <w:lang w:val="uk-UA"/>
              </w:rPr>
              <w:t xml:space="preserve">Про хід виконання рішення виконавчого комітету міської ради </w:t>
            </w:r>
          </w:p>
          <w:p w:rsidR="00FF43B9" w:rsidRDefault="00FF43B9" w:rsidP="00815D3D">
            <w:pPr>
              <w:jc w:val="center"/>
              <w:rPr>
                <w:b/>
                <w:sz w:val="28"/>
                <w:szCs w:val="28"/>
                <w:lang w:val="uk-UA"/>
              </w:rPr>
            </w:pPr>
            <w:r>
              <w:rPr>
                <w:b/>
                <w:sz w:val="28"/>
                <w:szCs w:val="28"/>
                <w:lang w:val="uk-UA"/>
              </w:rPr>
              <w:t xml:space="preserve">від 22.11.2016р. №706/22 «Про стан залучення коштів замовників в якості плати за користування окремими елементами благоустрою </w:t>
            </w:r>
          </w:p>
          <w:p w:rsidR="00FF43B9" w:rsidRDefault="00FF43B9" w:rsidP="00815D3D">
            <w:pPr>
              <w:jc w:val="center"/>
              <w:rPr>
                <w:b/>
                <w:sz w:val="28"/>
                <w:szCs w:val="28"/>
                <w:lang w:val="uk-UA"/>
              </w:rPr>
            </w:pPr>
            <w:r>
              <w:rPr>
                <w:b/>
                <w:sz w:val="28"/>
                <w:szCs w:val="28"/>
                <w:lang w:val="uk-UA"/>
              </w:rPr>
              <w:t xml:space="preserve">комунальної власності для розміщення літніх торгових </w:t>
            </w:r>
          </w:p>
          <w:p w:rsidR="00FF43B9" w:rsidRDefault="00FF43B9" w:rsidP="00815D3D">
            <w:pPr>
              <w:jc w:val="center"/>
              <w:rPr>
                <w:b/>
                <w:sz w:val="28"/>
                <w:szCs w:val="28"/>
                <w:lang w:val="uk-UA"/>
              </w:rPr>
            </w:pPr>
            <w:r>
              <w:rPr>
                <w:b/>
                <w:sz w:val="28"/>
                <w:szCs w:val="28"/>
                <w:lang w:val="uk-UA"/>
              </w:rPr>
              <w:t xml:space="preserve">майданчиків і тимчасових споруд для провадження </w:t>
            </w:r>
          </w:p>
          <w:p w:rsidR="00FF43B9" w:rsidRPr="008F2254" w:rsidRDefault="00FF43B9" w:rsidP="00815D3D">
            <w:pPr>
              <w:jc w:val="center"/>
              <w:rPr>
                <w:b/>
                <w:sz w:val="28"/>
                <w:szCs w:val="28"/>
                <w:lang w:val="uk-UA"/>
              </w:rPr>
            </w:pPr>
            <w:r>
              <w:rPr>
                <w:b/>
                <w:sz w:val="28"/>
                <w:szCs w:val="28"/>
                <w:lang w:val="uk-UA"/>
              </w:rPr>
              <w:t>підприємницької діяльності на території м.Чернівців»</w:t>
            </w:r>
          </w:p>
          <w:p w:rsidR="00FF43B9" w:rsidRPr="00E43665" w:rsidRDefault="00FF43B9" w:rsidP="00815D3D">
            <w:pPr>
              <w:jc w:val="center"/>
              <w:rPr>
                <w:b/>
                <w:sz w:val="28"/>
                <w:szCs w:val="28"/>
                <w:lang w:val="uk-UA"/>
              </w:rPr>
            </w:pPr>
          </w:p>
        </w:tc>
      </w:tr>
    </w:tbl>
    <w:p w:rsidR="00FF43B9" w:rsidRPr="00E21FB1" w:rsidRDefault="00FF43B9" w:rsidP="00FF43B9">
      <w:pPr>
        <w:tabs>
          <w:tab w:val="left" w:pos="3514"/>
        </w:tabs>
        <w:ind w:firstLine="600"/>
        <w:jc w:val="both"/>
        <w:rPr>
          <w:sz w:val="27"/>
          <w:szCs w:val="27"/>
          <w:lang w:val="uk-UA"/>
        </w:rPr>
      </w:pPr>
      <w:r w:rsidRPr="00E21FB1">
        <w:rPr>
          <w:sz w:val="27"/>
          <w:szCs w:val="27"/>
          <w:lang w:val="uk-UA"/>
        </w:rPr>
        <w:t xml:space="preserve">Заслухавши інформацію начальника відділу контролю платежів та аналізу виконання договорів оренди землі при департаменті містобудівного комплексу та земельних відносин міської ради Тимофійчука А.І. щодо залучення коштів замовників в якості плати за користування окремими елементами благоустрою комунальної власності для розміщення літніх торгових майданчиків (далі  - ЛТМ) </w:t>
      </w:r>
      <w:r>
        <w:rPr>
          <w:sz w:val="27"/>
          <w:szCs w:val="27"/>
          <w:lang w:val="uk-UA"/>
        </w:rPr>
        <w:t xml:space="preserve"> </w:t>
      </w:r>
      <w:r w:rsidRPr="00E21FB1">
        <w:rPr>
          <w:sz w:val="27"/>
          <w:szCs w:val="27"/>
          <w:lang w:val="uk-UA"/>
        </w:rPr>
        <w:t>і тимчасових споруд (далі – ПТС) для провадження підприємницької діяльності на території м.Чернівців, виконавчий комітет міської ради відмічає, що згідно з Положенням про тимчасове користування окремими елементами благоустрою комунальної власності для розміщення ЛТМ і ПТС для провадження підприємницької діяльності у м.Чернівців департаментом проводиться відповідна робота з підготовки та укладення договорів на право тимчасового користування окремими елементами благоустрою комунальної власності, контролю за виконанням замовниками умов укладених договорів, превентивна та претензійна робота зі спонукання замовників до своєчасності та повноти сплати внесків за користування об’єктами тощо.</w:t>
      </w:r>
    </w:p>
    <w:p w:rsidR="00FF43B9" w:rsidRPr="00E21FB1" w:rsidRDefault="00FF43B9" w:rsidP="00FF43B9">
      <w:pPr>
        <w:tabs>
          <w:tab w:val="left" w:pos="3514"/>
        </w:tabs>
        <w:ind w:firstLine="600"/>
        <w:jc w:val="both"/>
        <w:rPr>
          <w:sz w:val="27"/>
          <w:szCs w:val="27"/>
          <w:lang w:val="uk-UA"/>
        </w:rPr>
      </w:pPr>
      <w:r w:rsidRPr="00E21FB1">
        <w:rPr>
          <w:sz w:val="27"/>
          <w:szCs w:val="27"/>
          <w:lang w:val="uk-UA"/>
        </w:rPr>
        <w:t>Залучення коштів відбувається виключно на підставі укладених із замовниками договорів на право тимчасового користування окремими елементами благоустрою комунальної власності.</w:t>
      </w:r>
    </w:p>
    <w:p w:rsidR="00FF43B9" w:rsidRPr="00E21FB1" w:rsidRDefault="00FF43B9" w:rsidP="00FF43B9">
      <w:pPr>
        <w:ind w:firstLine="540"/>
        <w:jc w:val="both"/>
        <w:rPr>
          <w:color w:val="000000"/>
          <w:sz w:val="27"/>
          <w:szCs w:val="27"/>
          <w:lang w:val="uk-UA"/>
        </w:rPr>
      </w:pPr>
      <w:r w:rsidRPr="00E21FB1">
        <w:rPr>
          <w:sz w:val="27"/>
          <w:szCs w:val="27"/>
          <w:lang w:val="uk-UA"/>
        </w:rPr>
        <w:t>Між Чернівецькою м</w:t>
      </w:r>
      <w:r w:rsidRPr="00E21FB1">
        <w:rPr>
          <w:sz w:val="27"/>
          <w:szCs w:val="27"/>
        </w:rPr>
        <w:t xml:space="preserve">іською радою в особі департаменту містобудівного комплексу та земельних </w:t>
      </w:r>
      <w:r w:rsidRPr="00E21FB1">
        <w:rPr>
          <w:color w:val="000000"/>
          <w:sz w:val="27"/>
          <w:szCs w:val="27"/>
        </w:rPr>
        <w:t>відносин, як уповноваженого органу,</w:t>
      </w:r>
      <w:r w:rsidRPr="00E21FB1">
        <w:rPr>
          <w:color w:val="000000"/>
          <w:sz w:val="27"/>
          <w:szCs w:val="27"/>
          <w:lang w:val="uk-UA"/>
        </w:rPr>
        <w:t xml:space="preserve"> та замовниками</w:t>
      </w:r>
      <w:r w:rsidRPr="00E21FB1">
        <w:rPr>
          <w:color w:val="000000"/>
          <w:sz w:val="27"/>
          <w:szCs w:val="27"/>
        </w:rPr>
        <w:t xml:space="preserve"> укладено</w:t>
      </w:r>
      <w:r w:rsidRPr="00E21FB1">
        <w:rPr>
          <w:color w:val="000000"/>
          <w:sz w:val="27"/>
          <w:szCs w:val="27"/>
          <w:lang w:val="uk-UA"/>
        </w:rPr>
        <w:t>:</w:t>
      </w:r>
    </w:p>
    <w:p w:rsidR="00FF43B9" w:rsidRPr="00E21FB1" w:rsidRDefault="00FF43B9" w:rsidP="00FF43B9">
      <w:pPr>
        <w:ind w:firstLine="540"/>
        <w:jc w:val="both"/>
        <w:rPr>
          <w:color w:val="000000"/>
          <w:sz w:val="27"/>
          <w:szCs w:val="27"/>
          <w:lang w:val="uk-UA"/>
        </w:rPr>
      </w:pPr>
      <w:r w:rsidRPr="00E21FB1">
        <w:rPr>
          <w:color w:val="000000"/>
          <w:sz w:val="27"/>
          <w:szCs w:val="27"/>
          <w:lang w:val="uk-UA"/>
        </w:rPr>
        <w:t xml:space="preserve">- у 2018 році – 53 договори на право тимчасового користування окремими елементами благоустрою комунальної власності для розміщення ЛТМ, </w:t>
      </w:r>
      <w:r>
        <w:rPr>
          <w:color w:val="000000"/>
          <w:sz w:val="27"/>
          <w:szCs w:val="27"/>
          <w:lang w:val="uk-UA"/>
        </w:rPr>
        <w:t xml:space="preserve">                      </w:t>
      </w:r>
      <w:r w:rsidRPr="00E21FB1">
        <w:rPr>
          <w:color w:val="000000"/>
          <w:sz w:val="27"/>
          <w:szCs w:val="27"/>
          <w:lang w:val="uk-UA"/>
        </w:rPr>
        <w:t>53 договори на право розміщення ПТС та 51 договір на право розміщення ПТС за результатами конкурсів;</w:t>
      </w:r>
    </w:p>
    <w:p w:rsidR="00FF43B9" w:rsidRPr="00E21FB1" w:rsidRDefault="00FF43B9" w:rsidP="00FF43B9">
      <w:pPr>
        <w:ind w:firstLine="540"/>
        <w:jc w:val="both"/>
        <w:rPr>
          <w:color w:val="000000"/>
          <w:sz w:val="27"/>
          <w:szCs w:val="27"/>
          <w:lang w:val="uk-UA"/>
        </w:rPr>
      </w:pPr>
      <w:r w:rsidRPr="00E21FB1">
        <w:rPr>
          <w:color w:val="000000"/>
          <w:sz w:val="27"/>
          <w:szCs w:val="27"/>
          <w:lang w:val="uk-UA"/>
        </w:rPr>
        <w:t xml:space="preserve">- у 2017 році – 49 договорів на право тимчасового користування окремими елементами благоустрою комунальної власності для розміщення ЛТМ,              </w:t>
      </w:r>
      <w:r>
        <w:rPr>
          <w:color w:val="000000"/>
          <w:sz w:val="27"/>
          <w:szCs w:val="27"/>
          <w:lang w:val="uk-UA"/>
        </w:rPr>
        <w:t xml:space="preserve">            </w:t>
      </w:r>
      <w:r w:rsidRPr="00E21FB1">
        <w:rPr>
          <w:color w:val="000000"/>
          <w:sz w:val="27"/>
          <w:szCs w:val="27"/>
          <w:lang w:val="uk-UA"/>
        </w:rPr>
        <w:lastRenderedPageBreak/>
        <w:t>55 договорів на право розміщення ПТС та 41 договір на право розміщення ПТС за результатами конкурсів;</w:t>
      </w:r>
    </w:p>
    <w:p w:rsidR="00FF43B9" w:rsidRPr="00E21FB1" w:rsidRDefault="00FF43B9" w:rsidP="00FF43B9">
      <w:pPr>
        <w:ind w:firstLine="540"/>
        <w:jc w:val="both"/>
        <w:rPr>
          <w:color w:val="000000"/>
          <w:sz w:val="27"/>
          <w:szCs w:val="27"/>
          <w:lang w:val="uk-UA"/>
        </w:rPr>
      </w:pPr>
      <w:r w:rsidRPr="00E21FB1">
        <w:rPr>
          <w:color w:val="000000"/>
          <w:sz w:val="27"/>
          <w:szCs w:val="27"/>
          <w:lang w:val="uk-UA"/>
        </w:rPr>
        <w:t>- у 2016 році – 32 договори на право тимчасового користування окремими елементами благоустрою комунальної власності для розміщення ЛТМ,                   42 договори для розміщення ПТС та 49 договорів на право розміщення ПТС за результатами конкурсів.</w:t>
      </w:r>
    </w:p>
    <w:p w:rsidR="00FF43B9" w:rsidRPr="00E21FB1" w:rsidRDefault="00FF43B9" w:rsidP="00FF43B9">
      <w:pPr>
        <w:ind w:firstLine="540"/>
        <w:jc w:val="both"/>
        <w:rPr>
          <w:sz w:val="27"/>
          <w:szCs w:val="27"/>
        </w:rPr>
      </w:pPr>
      <w:r w:rsidRPr="00E21FB1">
        <w:rPr>
          <w:sz w:val="27"/>
          <w:szCs w:val="27"/>
        </w:rPr>
        <w:t xml:space="preserve">На виконання укладених договорів на право тимчасового користування окремими елементами благоустрою комунальної власності для розміщення ЛТМ за 10 місяців 2018 року до фонду соціально-економічного розвитку м.Чернівців залучені кошти в сумі – 737 418,16 грн. (в тому числі,  38 311,77 грн. на виконання договорів 2017 року), за 10 місяців 2017 року – 635 434,65 грн. (в тому числі, 42 019,71 грн. на виконання договорів 2016 року), за аналогічний період 2016 року – </w:t>
      </w:r>
      <w:r w:rsidRPr="00E21FB1">
        <w:rPr>
          <w:color w:val="000000"/>
          <w:sz w:val="27"/>
          <w:szCs w:val="27"/>
        </w:rPr>
        <w:t xml:space="preserve">407 376,02 грн. </w:t>
      </w:r>
      <w:r w:rsidRPr="00E21FB1">
        <w:rPr>
          <w:sz w:val="27"/>
          <w:szCs w:val="27"/>
        </w:rPr>
        <w:t xml:space="preserve">Таким чином, прослідковується позитивна динаміка та зростання надходжень до бюджету (у 2018 році порівняно з 2017 роком на 16%, а у 2017 році порівняно з 2016 роком на 55,90%). </w:t>
      </w:r>
    </w:p>
    <w:p w:rsidR="00FF43B9" w:rsidRPr="00E21FB1" w:rsidRDefault="00FF43B9" w:rsidP="00FF43B9">
      <w:pPr>
        <w:ind w:firstLine="540"/>
        <w:jc w:val="both"/>
        <w:rPr>
          <w:sz w:val="27"/>
          <w:szCs w:val="27"/>
        </w:rPr>
      </w:pPr>
      <w:r w:rsidRPr="00E21FB1">
        <w:rPr>
          <w:sz w:val="27"/>
          <w:szCs w:val="27"/>
        </w:rPr>
        <w:t>Сума надходжень за право тимчасового користування окремими елементами благоустрою для розміщення ПТС поза конкурсом за 10 місяців 2018 року склала – 101 854,76 грн., за 10 місяців 2017 року – 128 558,25 грн. (в тому числі,    12 231,74 грн. на виконання договорів 2016 року), за аналогічний період 2016 року – 164 494,1 грн.</w:t>
      </w:r>
    </w:p>
    <w:p w:rsidR="00FF43B9" w:rsidRPr="00E21FB1" w:rsidRDefault="00FF43B9" w:rsidP="00FF43B9">
      <w:pPr>
        <w:ind w:firstLine="540"/>
        <w:jc w:val="both"/>
        <w:rPr>
          <w:color w:val="000000"/>
          <w:sz w:val="27"/>
          <w:szCs w:val="27"/>
          <w:lang w:val="uk-UA"/>
        </w:rPr>
      </w:pPr>
      <w:r w:rsidRPr="00E21FB1">
        <w:rPr>
          <w:sz w:val="27"/>
          <w:szCs w:val="27"/>
        </w:rPr>
        <w:t xml:space="preserve">На виконання укладених договорів на право тимчасового користування елементами благоустрою для розміщення ПТС за результатами конкурсів, департаментом містобудівного комплексу та земельних відносин міської ради </w:t>
      </w:r>
      <w:r>
        <w:rPr>
          <w:sz w:val="27"/>
          <w:szCs w:val="27"/>
          <w:lang w:val="uk-UA"/>
        </w:rPr>
        <w:t xml:space="preserve">           </w:t>
      </w:r>
      <w:r w:rsidRPr="00E21FB1">
        <w:rPr>
          <w:sz w:val="27"/>
          <w:szCs w:val="27"/>
        </w:rPr>
        <w:t>до фонду соціально-економічного розвитку міста залучено</w:t>
      </w:r>
      <w:r w:rsidRPr="00E21FB1">
        <w:rPr>
          <w:sz w:val="27"/>
          <w:szCs w:val="27"/>
          <w:lang w:val="uk-UA"/>
        </w:rPr>
        <w:t xml:space="preserve"> за звітний період </w:t>
      </w:r>
      <w:r w:rsidRPr="00E21FB1">
        <w:rPr>
          <w:color w:val="000000"/>
          <w:sz w:val="27"/>
          <w:szCs w:val="27"/>
          <w:lang w:val="uk-UA"/>
        </w:rPr>
        <w:t xml:space="preserve">у 2018 році - </w:t>
      </w:r>
      <w:r w:rsidRPr="00E21FB1">
        <w:rPr>
          <w:sz w:val="27"/>
          <w:szCs w:val="27"/>
        </w:rPr>
        <w:t>756 285,72</w:t>
      </w:r>
      <w:r w:rsidRPr="00E21FB1">
        <w:rPr>
          <w:sz w:val="27"/>
          <w:szCs w:val="27"/>
          <w:lang w:val="uk-UA"/>
        </w:rPr>
        <w:t xml:space="preserve"> грн., </w:t>
      </w:r>
      <w:r w:rsidRPr="00E21FB1">
        <w:rPr>
          <w:color w:val="000000"/>
          <w:sz w:val="27"/>
          <w:szCs w:val="27"/>
          <w:lang w:val="uk-UA"/>
        </w:rPr>
        <w:t xml:space="preserve">у 2017 році - </w:t>
      </w:r>
      <w:r w:rsidRPr="00E21FB1">
        <w:rPr>
          <w:color w:val="000000"/>
          <w:sz w:val="27"/>
          <w:szCs w:val="27"/>
        </w:rPr>
        <w:t>489 441,19</w:t>
      </w:r>
      <w:r w:rsidRPr="00E21FB1">
        <w:rPr>
          <w:color w:val="000000"/>
          <w:sz w:val="27"/>
          <w:szCs w:val="27"/>
          <w:lang w:val="uk-UA"/>
        </w:rPr>
        <w:t xml:space="preserve"> грн.</w:t>
      </w:r>
      <w:r w:rsidRPr="00E21FB1">
        <w:rPr>
          <w:color w:val="000000"/>
          <w:sz w:val="27"/>
          <w:szCs w:val="27"/>
        </w:rPr>
        <w:t xml:space="preserve"> (з них 61 203,89 грн. на виконання договорів 2016 року)</w:t>
      </w:r>
      <w:r w:rsidRPr="00E21FB1">
        <w:rPr>
          <w:color w:val="000000"/>
          <w:sz w:val="27"/>
          <w:szCs w:val="27"/>
          <w:lang w:val="uk-UA"/>
        </w:rPr>
        <w:t xml:space="preserve">,  2016 році - 699 714,61 грн. </w:t>
      </w:r>
    </w:p>
    <w:p w:rsidR="00FF43B9" w:rsidRPr="00E21FB1" w:rsidRDefault="00FF43B9" w:rsidP="00FF43B9">
      <w:pPr>
        <w:ind w:firstLine="540"/>
        <w:jc w:val="both"/>
        <w:rPr>
          <w:sz w:val="27"/>
          <w:szCs w:val="27"/>
          <w:lang w:val="uk-UA"/>
        </w:rPr>
      </w:pPr>
      <w:r w:rsidRPr="00E21FB1">
        <w:rPr>
          <w:sz w:val="27"/>
          <w:szCs w:val="27"/>
        </w:rPr>
        <w:t xml:space="preserve">Отже, загальна сума залучених коштів замовників до фонду соціально-економічного розвитку м.Чернівців у якості плати за користування окремими елементами благоустрою комунальної власності для розміщення ЛТМ і ПТС для провадження підприємницької діяльності, в тому числі, і за результатами конкурсу, на території міста Чернівців за 10 місяців 2018 року становить – 1 595 558,64  грн., за 10 місяців 2017 року – 1 253 434,09 грн, за аналогічний період 2016 року – </w:t>
      </w:r>
      <w:r w:rsidRPr="00E21FB1">
        <w:rPr>
          <w:color w:val="000000"/>
          <w:sz w:val="27"/>
          <w:szCs w:val="27"/>
        </w:rPr>
        <w:t>1 271 584,74 грн. У відсотковому співвідношенні у 2018 році порівняно з 2017 роком надходження зросли на 27,2%, а у 2017 році порівняно з 2016 роком спостерігався незначний спад обсягів надходжень на 1,43%.</w:t>
      </w:r>
    </w:p>
    <w:p w:rsidR="00FF43B9" w:rsidRPr="00E21FB1" w:rsidRDefault="00FF43B9" w:rsidP="00FF43B9">
      <w:pPr>
        <w:ind w:firstLine="540"/>
        <w:jc w:val="both"/>
        <w:rPr>
          <w:sz w:val="27"/>
          <w:szCs w:val="27"/>
          <w:lang w:val="uk-UA"/>
        </w:rPr>
      </w:pPr>
      <w:r w:rsidRPr="00E21FB1">
        <w:rPr>
          <w:sz w:val="27"/>
          <w:szCs w:val="27"/>
          <w:lang w:val="uk-UA"/>
        </w:rPr>
        <w:t xml:space="preserve">Окрім того, для забезпечення безперебійності процесу залучення коштів та запобіганню нанесенню втрат міського бюджету, департаментом здійснюється систематична робота в частині взаємодії з виконавчими органами Чернівецької міської ради з метою спонукання замовників до якісного виконання умов договорів та вдосконалення правової конструкції залучення коштів до фонду соціально-економічного розвитку міста Чернівців. </w:t>
      </w:r>
    </w:p>
    <w:p w:rsidR="00FF43B9" w:rsidRPr="00E21FB1" w:rsidRDefault="00FF43B9" w:rsidP="00FF43B9">
      <w:pPr>
        <w:tabs>
          <w:tab w:val="left" w:pos="3514"/>
        </w:tabs>
        <w:ind w:firstLine="708"/>
        <w:jc w:val="both"/>
        <w:rPr>
          <w:sz w:val="27"/>
          <w:szCs w:val="27"/>
          <w:lang w:val="uk-UA"/>
        </w:rPr>
      </w:pPr>
      <w:r w:rsidRPr="00E21FB1">
        <w:rPr>
          <w:sz w:val="27"/>
          <w:szCs w:val="27"/>
          <w:lang w:val="uk-UA"/>
        </w:rPr>
        <w:t xml:space="preserve">Відповідно до статей 31, 59 Закону України «Про місцеве самоврядування в Україні» та беручи до уваги зазначене вище, виконавчий комітет Чернівецької міської ради   </w:t>
      </w:r>
    </w:p>
    <w:p w:rsidR="00FF43B9" w:rsidRPr="0057187A" w:rsidRDefault="00FF43B9" w:rsidP="00FF43B9">
      <w:pPr>
        <w:tabs>
          <w:tab w:val="left" w:pos="3514"/>
        </w:tabs>
        <w:ind w:firstLine="708"/>
        <w:jc w:val="both"/>
        <w:rPr>
          <w:sz w:val="28"/>
          <w:lang w:val="uk-UA"/>
        </w:rPr>
      </w:pPr>
    </w:p>
    <w:p w:rsidR="00FF43B9" w:rsidRPr="00420348" w:rsidRDefault="00FF43B9" w:rsidP="00FF43B9">
      <w:pPr>
        <w:tabs>
          <w:tab w:val="left" w:pos="3514"/>
        </w:tabs>
        <w:ind w:firstLine="708"/>
        <w:jc w:val="both"/>
        <w:rPr>
          <w:sz w:val="12"/>
          <w:szCs w:val="12"/>
          <w:lang w:val="uk-UA"/>
        </w:rPr>
      </w:pPr>
    </w:p>
    <w:p w:rsidR="00FF43B9" w:rsidRDefault="00FF43B9" w:rsidP="00FF43B9">
      <w:pPr>
        <w:tabs>
          <w:tab w:val="left" w:pos="3514"/>
        </w:tabs>
        <w:jc w:val="center"/>
        <w:rPr>
          <w:b/>
          <w:sz w:val="28"/>
          <w:szCs w:val="28"/>
          <w:lang w:val="uk-UA"/>
        </w:rPr>
      </w:pPr>
      <w:r>
        <w:rPr>
          <w:b/>
          <w:sz w:val="28"/>
          <w:szCs w:val="28"/>
          <w:lang w:val="uk-UA"/>
        </w:rPr>
        <w:lastRenderedPageBreak/>
        <w:t xml:space="preserve">В И Р І Ш И В: </w:t>
      </w:r>
    </w:p>
    <w:p w:rsidR="00FF43B9" w:rsidRPr="00420348" w:rsidRDefault="00FF43B9" w:rsidP="00FF43B9">
      <w:pPr>
        <w:ind w:firstLine="708"/>
        <w:jc w:val="both"/>
        <w:rPr>
          <w:b/>
          <w:sz w:val="12"/>
          <w:szCs w:val="12"/>
          <w:lang w:val="uk-UA"/>
        </w:rPr>
      </w:pPr>
    </w:p>
    <w:p w:rsidR="00FF43B9" w:rsidRPr="009E0855" w:rsidRDefault="00FF43B9" w:rsidP="00FF43B9">
      <w:pPr>
        <w:ind w:firstLine="708"/>
        <w:jc w:val="both"/>
        <w:rPr>
          <w:sz w:val="28"/>
          <w:szCs w:val="28"/>
          <w:lang w:val="uk-UA"/>
        </w:rPr>
      </w:pPr>
      <w:r w:rsidRPr="00A939BB">
        <w:rPr>
          <w:b/>
          <w:sz w:val="28"/>
          <w:szCs w:val="28"/>
          <w:lang w:val="uk-UA"/>
        </w:rPr>
        <w:t>1.</w:t>
      </w:r>
      <w:r>
        <w:rPr>
          <w:b/>
          <w:sz w:val="28"/>
          <w:szCs w:val="28"/>
          <w:lang w:val="uk-UA"/>
        </w:rPr>
        <w:t xml:space="preserve"> </w:t>
      </w:r>
      <w:r>
        <w:rPr>
          <w:sz w:val="28"/>
          <w:szCs w:val="28"/>
          <w:lang w:val="uk-UA"/>
        </w:rPr>
        <w:t>І</w:t>
      </w:r>
      <w:r w:rsidRPr="001D7BBF">
        <w:rPr>
          <w:sz w:val="28"/>
          <w:szCs w:val="28"/>
          <w:lang w:val="uk-UA"/>
        </w:rPr>
        <w:t xml:space="preserve">нформацію </w:t>
      </w:r>
      <w:r>
        <w:rPr>
          <w:sz w:val="28"/>
          <w:lang w:val="uk-UA"/>
        </w:rPr>
        <w:t xml:space="preserve">начальника відділу контролю платежів та аналізу виконання договорів оренди землі при департаменті містобудівного комплексу та земельних відносин Чернівецької міської ради Тимофійчука А.І. щодо стану залучення коштів замовників </w:t>
      </w:r>
      <w:r w:rsidRPr="00D10CC0">
        <w:rPr>
          <w:sz w:val="28"/>
          <w:szCs w:val="28"/>
          <w:lang w:val="uk-UA"/>
        </w:rPr>
        <w:t>в якості плати за користування окремими елементами благо</w:t>
      </w:r>
      <w:r>
        <w:rPr>
          <w:sz w:val="28"/>
          <w:szCs w:val="28"/>
          <w:lang w:val="uk-UA"/>
        </w:rPr>
        <w:t>устрою комунальної власності, при розміщенні лі</w:t>
      </w:r>
      <w:r w:rsidRPr="00D10CC0">
        <w:rPr>
          <w:sz w:val="28"/>
          <w:szCs w:val="28"/>
          <w:lang w:val="uk-UA"/>
        </w:rPr>
        <w:t>тніх торгових майданчиків і тимчасових споруд для провадження підприємницької діяльності на території м.Чернівців</w:t>
      </w:r>
      <w:r>
        <w:rPr>
          <w:sz w:val="28"/>
          <w:szCs w:val="28"/>
          <w:lang w:val="uk-UA"/>
        </w:rPr>
        <w:t xml:space="preserve">, </w:t>
      </w:r>
      <w:r w:rsidRPr="009E0855">
        <w:rPr>
          <w:sz w:val="28"/>
          <w:szCs w:val="28"/>
          <w:lang w:val="uk-UA"/>
        </w:rPr>
        <w:t>взяти до відома (додається).</w:t>
      </w:r>
    </w:p>
    <w:p w:rsidR="00FF43B9" w:rsidRPr="008A209B" w:rsidRDefault="00FF43B9" w:rsidP="00FF43B9">
      <w:pPr>
        <w:spacing w:before="240"/>
        <w:ind w:firstLine="708"/>
        <w:jc w:val="both"/>
        <w:rPr>
          <w:sz w:val="28"/>
          <w:szCs w:val="28"/>
          <w:lang w:val="uk-UA"/>
        </w:rPr>
      </w:pPr>
      <w:r>
        <w:rPr>
          <w:b/>
          <w:sz w:val="28"/>
          <w:szCs w:val="28"/>
          <w:lang w:val="uk-UA"/>
        </w:rPr>
        <w:t xml:space="preserve">2. </w:t>
      </w:r>
      <w:r w:rsidRPr="008A209B">
        <w:rPr>
          <w:sz w:val="28"/>
          <w:szCs w:val="28"/>
          <w:lang w:val="uk-UA"/>
        </w:rPr>
        <w:t>Відділу контролю платеж</w:t>
      </w:r>
      <w:r>
        <w:rPr>
          <w:sz w:val="28"/>
          <w:szCs w:val="28"/>
          <w:lang w:val="uk-UA"/>
        </w:rPr>
        <w:t>і</w:t>
      </w:r>
      <w:r w:rsidRPr="008A209B">
        <w:rPr>
          <w:sz w:val="28"/>
          <w:szCs w:val="28"/>
          <w:lang w:val="uk-UA"/>
        </w:rPr>
        <w:t>в та аналізу</w:t>
      </w:r>
      <w:r>
        <w:rPr>
          <w:sz w:val="28"/>
          <w:szCs w:val="28"/>
          <w:lang w:val="uk-UA"/>
        </w:rPr>
        <w:t xml:space="preserve"> виконання договорів оренди землі при департаменті містобудівного комплексу та земельних відносин Чернівецької міської ради продовжувати системну роботу стосовно залучення коштів замовників в якості плати за користування окремими елементами благоустрою комунальної власності при розміщенні літніх торгових майданчиків та тимчасових споруд для провадження підприємницької діяльності на території міста Чернівців.</w:t>
      </w:r>
    </w:p>
    <w:p w:rsidR="00FF43B9" w:rsidRPr="000162EB" w:rsidRDefault="00FF43B9" w:rsidP="00FF43B9">
      <w:pPr>
        <w:tabs>
          <w:tab w:val="left" w:pos="1080"/>
        </w:tabs>
        <w:spacing w:before="240"/>
        <w:ind w:firstLine="708"/>
        <w:jc w:val="both"/>
        <w:rPr>
          <w:sz w:val="28"/>
          <w:szCs w:val="28"/>
          <w:lang w:val="uk-UA"/>
        </w:rPr>
      </w:pPr>
      <w:r>
        <w:rPr>
          <w:b/>
          <w:sz w:val="28"/>
          <w:lang w:val="uk-UA"/>
        </w:rPr>
        <w:t xml:space="preserve">3. </w:t>
      </w:r>
      <w:r>
        <w:rPr>
          <w:sz w:val="28"/>
          <w:lang w:val="uk-UA"/>
        </w:rPr>
        <w:t xml:space="preserve">Управлінню містобудування та архітектури департаменту містобудівного комплексу та земельних відносин міської ради підготувати </w:t>
      </w:r>
      <w:r>
        <w:rPr>
          <w:sz w:val="28"/>
          <w:szCs w:val="28"/>
          <w:lang w:val="uk-UA"/>
        </w:rPr>
        <w:t>на розгляд чергового засідання виконавчого комітету Чернівецької міської ради</w:t>
      </w:r>
      <w:r>
        <w:rPr>
          <w:sz w:val="28"/>
          <w:lang w:val="uk-UA"/>
        </w:rPr>
        <w:t xml:space="preserve"> проект рішення «</w:t>
      </w:r>
      <w:r w:rsidRPr="00AB3D08">
        <w:rPr>
          <w:sz w:val="28"/>
          <w:szCs w:val="28"/>
          <w:lang w:val="uk-UA"/>
        </w:rPr>
        <w:t>Про внесення змін та д</w:t>
      </w:r>
      <w:r>
        <w:rPr>
          <w:sz w:val="28"/>
          <w:szCs w:val="28"/>
          <w:lang w:val="uk-UA"/>
        </w:rPr>
        <w:t xml:space="preserve">оповнень до рішення виконавчого </w:t>
      </w:r>
      <w:r w:rsidRPr="00AB3D08">
        <w:rPr>
          <w:sz w:val="28"/>
          <w:szCs w:val="28"/>
          <w:lang w:val="uk-UA"/>
        </w:rPr>
        <w:t>комітету міської ради від 29.03.2016р. №186/6 «Про затвердження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w:t>
      </w:r>
      <w:r>
        <w:rPr>
          <w:sz w:val="28"/>
          <w:szCs w:val="28"/>
          <w:lang w:val="uk-UA"/>
        </w:rPr>
        <w:t>дприємницької діяльності»</w:t>
      </w:r>
      <w:r w:rsidRPr="00AB3D08">
        <w:rPr>
          <w:sz w:val="28"/>
          <w:lang w:val="uk-UA"/>
        </w:rPr>
        <w:t>.</w:t>
      </w:r>
      <w:r w:rsidRPr="00DA05E0">
        <w:rPr>
          <w:sz w:val="28"/>
          <w:lang w:val="uk-UA"/>
        </w:rPr>
        <w:t xml:space="preserve"> </w:t>
      </w:r>
    </w:p>
    <w:p w:rsidR="00FF43B9" w:rsidRDefault="00FF43B9" w:rsidP="00FF43B9">
      <w:pPr>
        <w:ind w:firstLine="708"/>
        <w:jc w:val="both"/>
        <w:rPr>
          <w:b/>
          <w:sz w:val="28"/>
          <w:szCs w:val="28"/>
          <w:lang w:val="uk-UA"/>
        </w:rPr>
      </w:pPr>
    </w:p>
    <w:p w:rsidR="00FF43B9" w:rsidRDefault="00FF43B9" w:rsidP="00FF43B9">
      <w:pPr>
        <w:ind w:firstLine="708"/>
        <w:jc w:val="both"/>
        <w:rPr>
          <w:sz w:val="28"/>
          <w:szCs w:val="28"/>
          <w:lang w:val="uk-UA"/>
        </w:rPr>
      </w:pPr>
      <w:r>
        <w:rPr>
          <w:b/>
          <w:sz w:val="28"/>
          <w:szCs w:val="28"/>
          <w:lang w:val="uk-UA"/>
        </w:rPr>
        <w:t>4</w:t>
      </w:r>
      <w:r w:rsidRPr="00A939BB">
        <w:rPr>
          <w:b/>
          <w:sz w:val="28"/>
          <w:szCs w:val="28"/>
          <w:lang w:val="uk-UA"/>
        </w:rPr>
        <w:t>.</w:t>
      </w:r>
      <w:r>
        <w:rPr>
          <w:sz w:val="28"/>
          <w:szCs w:val="28"/>
          <w:lang w:val="uk-UA"/>
        </w:rPr>
        <w:t xml:space="preserve"> Рішення набирає чинності з дня його оприлюднення на офіційному         веб – порталі Чернівецької міської ради.</w:t>
      </w:r>
    </w:p>
    <w:p w:rsidR="00FF43B9" w:rsidRPr="00CF3F00" w:rsidRDefault="00FF43B9" w:rsidP="00FF43B9">
      <w:pPr>
        <w:ind w:firstLine="708"/>
        <w:jc w:val="both"/>
        <w:rPr>
          <w:sz w:val="28"/>
          <w:szCs w:val="28"/>
          <w:lang w:val="uk-UA"/>
        </w:rPr>
      </w:pPr>
    </w:p>
    <w:p w:rsidR="00FF43B9" w:rsidRDefault="00FF43B9" w:rsidP="00FF43B9">
      <w:pPr>
        <w:ind w:firstLine="708"/>
        <w:jc w:val="both"/>
        <w:rPr>
          <w:sz w:val="28"/>
          <w:szCs w:val="28"/>
          <w:lang w:val="uk-UA"/>
        </w:rPr>
      </w:pPr>
      <w:r>
        <w:rPr>
          <w:b/>
          <w:sz w:val="28"/>
          <w:szCs w:val="28"/>
          <w:lang w:val="uk-UA"/>
        </w:rPr>
        <w:t>5</w:t>
      </w:r>
      <w:r w:rsidRPr="00A939BB">
        <w:rPr>
          <w:b/>
          <w:sz w:val="28"/>
          <w:szCs w:val="28"/>
          <w:lang w:val="uk-UA"/>
        </w:rPr>
        <w:t>.</w:t>
      </w:r>
      <w:r>
        <w:rPr>
          <w:b/>
          <w:sz w:val="28"/>
          <w:szCs w:val="28"/>
          <w:lang w:val="uk-UA"/>
        </w:rPr>
        <w:t xml:space="preserve"> </w:t>
      </w:r>
      <w:r>
        <w:rPr>
          <w:sz w:val="28"/>
          <w:szCs w:val="28"/>
          <w:lang w:val="uk-UA"/>
        </w:rPr>
        <w:t>Організацію виконання цього рішення покласти на директора департаменту містобудівного комплексу та земельних відносин міської ради.</w:t>
      </w:r>
    </w:p>
    <w:p w:rsidR="00FF43B9" w:rsidRPr="00CF3F00" w:rsidRDefault="00FF43B9" w:rsidP="00FF43B9">
      <w:pPr>
        <w:ind w:firstLine="708"/>
        <w:jc w:val="both"/>
        <w:rPr>
          <w:b/>
          <w:sz w:val="28"/>
          <w:szCs w:val="28"/>
          <w:lang w:val="uk-UA"/>
        </w:rPr>
      </w:pPr>
    </w:p>
    <w:p w:rsidR="00FF43B9" w:rsidRDefault="00FF43B9" w:rsidP="00FF43B9">
      <w:pPr>
        <w:ind w:firstLine="708"/>
        <w:jc w:val="both"/>
        <w:rPr>
          <w:sz w:val="28"/>
          <w:szCs w:val="28"/>
          <w:lang w:val="uk-UA"/>
        </w:rPr>
      </w:pPr>
      <w:r>
        <w:rPr>
          <w:b/>
          <w:sz w:val="28"/>
          <w:szCs w:val="28"/>
          <w:lang w:val="uk-UA"/>
        </w:rPr>
        <w:t>6</w:t>
      </w:r>
      <w:r w:rsidRPr="00A939BB">
        <w:rPr>
          <w:b/>
          <w:sz w:val="28"/>
          <w:szCs w:val="28"/>
          <w:lang w:val="uk-UA"/>
        </w:rPr>
        <w:t>.</w:t>
      </w:r>
      <w:r>
        <w:rPr>
          <w:b/>
          <w:sz w:val="28"/>
          <w:szCs w:val="28"/>
          <w:lang w:val="uk-UA"/>
        </w:rPr>
        <w:t xml:space="preserve"> </w:t>
      </w:r>
      <w:r>
        <w:rPr>
          <w:sz w:val="28"/>
          <w:szCs w:val="28"/>
          <w:lang w:val="uk-UA"/>
        </w:rPr>
        <w:t>Контроль за виконанням рішення покласти на заступника міського голови з питань діяльності виконавчих органів міської ради Середюка В.Б.</w:t>
      </w:r>
    </w:p>
    <w:p w:rsidR="00FF43B9" w:rsidRDefault="00FF43B9" w:rsidP="00FF43B9">
      <w:pPr>
        <w:ind w:firstLine="708"/>
        <w:jc w:val="both"/>
        <w:rPr>
          <w:b/>
          <w:sz w:val="28"/>
          <w:szCs w:val="28"/>
          <w:lang w:val="uk-UA"/>
        </w:rPr>
      </w:pPr>
    </w:p>
    <w:p w:rsidR="00FF43B9" w:rsidRDefault="00FF43B9" w:rsidP="00FF43B9">
      <w:pPr>
        <w:ind w:firstLine="708"/>
        <w:jc w:val="both"/>
        <w:rPr>
          <w:b/>
          <w:sz w:val="28"/>
          <w:szCs w:val="28"/>
          <w:lang w:val="uk-UA"/>
        </w:rPr>
      </w:pPr>
    </w:p>
    <w:p w:rsidR="00FF43B9" w:rsidRDefault="00FF43B9" w:rsidP="00FF43B9">
      <w:pPr>
        <w:ind w:firstLine="708"/>
        <w:jc w:val="both"/>
        <w:rPr>
          <w:b/>
          <w:sz w:val="28"/>
          <w:szCs w:val="28"/>
          <w:lang w:val="uk-UA"/>
        </w:rPr>
      </w:pPr>
    </w:p>
    <w:p w:rsidR="00FF43B9" w:rsidRDefault="00FF43B9" w:rsidP="00FF43B9">
      <w:pPr>
        <w:tabs>
          <w:tab w:val="left" w:pos="1200"/>
          <w:tab w:val="left" w:pos="3514"/>
        </w:tabs>
        <w:rPr>
          <w:b/>
          <w:color w:val="000000"/>
          <w:sz w:val="28"/>
          <w:szCs w:val="28"/>
          <w:lang w:val="uk-UA"/>
        </w:rPr>
      </w:pPr>
      <w:r>
        <w:rPr>
          <w:b/>
          <w:color w:val="000000"/>
          <w:sz w:val="28"/>
          <w:szCs w:val="28"/>
          <w:lang w:val="uk-UA"/>
        </w:rPr>
        <w:t>Секретар Чернівецької міської ради                                                 В.Продан</w:t>
      </w:r>
    </w:p>
    <w:tbl>
      <w:tblPr>
        <w:tblW w:w="9379" w:type="dxa"/>
        <w:tblLook w:val="04A0" w:firstRow="1" w:lastRow="0" w:firstColumn="1" w:lastColumn="0" w:noHBand="0" w:noVBand="1"/>
      </w:tblPr>
      <w:tblGrid>
        <w:gridCol w:w="7123"/>
        <w:gridCol w:w="2256"/>
      </w:tblGrid>
      <w:tr w:rsidR="00FF43B9" w:rsidRPr="000F55AA" w:rsidTr="00815D3D">
        <w:tc>
          <w:tcPr>
            <w:tcW w:w="7123" w:type="dxa"/>
          </w:tcPr>
          <w:p w:rsidR="00FF43B9" w:rsidRPr="000F55AA" w:rsidRDefault="00FF43B9" w:rsidP="00815D3D">
            <w:pPr>
              <w:widowControl w:val="0"/>
              <w:tabs>
                <w:tab w:val="left" w:pos="0"/>
              </w:tabs>
              <w:autoSpaceDE w:val="0"/>
              <w:autoSpaceDN w:val="0"/>
              <w:adjustRightInd w:val="0"/>
              <w:rPr>
                <w:lang w:val="uk-UA"/>
              </w:rPr>
            </w:pPr>
          </w:p>
        </w:tc>
        <w:tc>
          <w:tcPr>
            <w:tcW w:w="2256" w:type="dxa"/>
          </w:tcPr>
          <w:p w:rsidR="00FF43B9" w:rsidRPr="000F55AA" w:rsidRDefault="00FF43B9" w:rsidP="00815D3D">
            <w:pPr>
              <w:widowControl w:val="0"/>
              <w:tabs>
                <w:tab w:val="left" w:pos="7200"/>
              </w:tabs>
              <w:autoSpaceDE w:val="0"/>
              <w:autoSpaceDN w:val="0"/>
              <w:adjustRightInd w:val="0"/>
              <w:jc w:val="right"/>
              <w:rPr>
                <w:lang w:val="uk-UA"/>
              </w:rPr>
            </w:pPr>
          </w:p>
        </w:tc>
      </w:tr>
      <w:tr w:rsidR="00FF43B9" w:rsidRPr="000F55AA" w:rsidTr="00FF43B9">
        <w:trPr>
          <w:trHeight w:val="102"/>
        </w:trPr>
        <w:tc>
          <w:tcPr>
            <w:tcW w:w="7123" w:type="dxa"/>
          </w:tcPr>
          <w:p w:rsidR="00FF43B9" w:rsidRPr="000F55AA" w:rsidRDefault="00FF43B9" w:rsidP="00815D3D">
            <w:pPr>
              <w:widowControl w:val="0"/>
              <w:tabs>
                <w:tab w:val="left" w:pos="0"/>
              </w:tabs>
              <w:autoSpaceDE w:val="0"/>
              <w:autoSpaceDN w:val="0"/>
              <w:adjustRightInd w:val="0"/>
              <w:rPr>
                <w:b/>
                <w:lang w:val="uk-UA"/>
              </w:rPr>
            </w:pPr>
          </w:p>
        </w:tc>
        <w:tc>
          <w:tcPr>
            <w:tcW w:w="2256" w:type="dxa"/>
          </w:tcPr>
          <w:p w:rsidR="00FF43B9" w:rsidRPr="000F55AA" w:rsidRDefault="00FF43B9" w:rsidP="00815D3D">
            <w:pPr>
              <w:widowControl w:val="0"/>
              <w:tabs>
                <w:tab w:val="left" w:pos="7200"/>
              </w:tabs>
              <w:autoSpaceDE w:val="0"/>
              <w:autoSpaceDN w:val="0"/>
              <w:adjustRightInd w:val="0"/>
              <w:jc w:val="right"/>
              <w:rPr>
                <w:lang w:val="uk-UA"/>
              </w:rPr>
            </w:pPr>
          </w:p>
        </w:tc>
      </w:tr>
      <w:tr w:rsidR="00FF43B9" w:rsidRPr="000F55AA" w:rsidTr="00815D3D">
        <w:tc>
          <w:tcPr>
            <w:tcW w:w="7123" w:type="dxa"/>
          </w:tcPr>
          <w:p w:rsidR="00FF43B9" w:rsidRPr="000F55AA" w:rsidRDefault="00FF43B9" w:rsidP="00815D3D">
            <w:pPr>
              <w:widowControl w:val="0"/>
              <w:autoSpaceDE w:val="0"/>
              <w:autoSpaceDN w:val="0"/>
              <w:adjustRightInd w:val="0"/>
              <w:rPr>
                <w:lang w:val="uk-UA"/>
              </w:rPr>
            </w:pPr>
          </w:p>
        </w:tc>
        <w:tc>
          <w:tcPr>
            <w:tcW w:w="2256" w:type="dxa"/>
          </w:tcPr>
          <w:p w:rsidR="00FF43B9" w:rsidRPr="000F55AA" w:rsidRDefault="00FF43B9" w:rsidP="00815D3D">
            <w:pPr>
              <w:widowControl w:val="0"/>
              <w:tabs>
                <w:tab w:val="left" w:pos="7200"/>
              </w:tabs>
              <w:autoSpaceDE w:val="0"/>
              <w:autoSpaceDN w:val="0"/>
              <w:adjustRightInd w:val="0"/>
              <w:jc w:val="right"/>
              <w:rPr>
                <w:lang w:val="uk-UA"/>
              </w:rPr>
            </w:pPr>
          </w:p>
        </w:tc>
      </w:tr>
    </w:tbl>
    <w:p w:rsidR="00FF43B9" w:rsidRPr="0042216C" w:rsidRDefault="00FF43B9" w:rsidP="00FF43B9">
      <w:pPr>
        <w:widowControl w:val="0"/>
        <w:autoSpaceDE w:val="0"/>
        <w:autoSpaceDN w:val="0"/>
        <w:adjustRightInd w:val="0"/>
        <w:rPr>
          <w:sz w:val="20"/>
          <w:szCs w:val="20"/>
          <w:lang w:val="uk-UA"/>
        </w:rPr>
      </w:pPr>
      <w:r w:rsidRPr="0042216C">
        <w:rPr>
          <w:sz w:val="20"/>
          <w:szCs w:val="20"/>
          <w:lang w:val="uk-UA"/>
        </w:rPr>
        <w:t xml:space="preserve">Рішення надіслано: </w:t>
      </w:r>
    </w:p>
    <w:p w:rsidR="00FF43B9" w:rsidRPr="0042216C" w:rsidRDefault="00FF43B9" w:rsidP="00FF43B9">
      <w:pPr>
        <w:widowControl w:val="0"/>
        <w:numPr>
          <w:ilvl w:val="0"/>
          <w:numId w:val="2"/>
        </w:numPr>
        <w:autoSpaceDE w:val="0"/>
        <w:autoSpaceDN w:val="0"/>
        <w:adjustRightInd w:val="0"/>
        <w:rPr>
          <w:sz w:val="20"/>
          <w:szCs w:val="20"/>
          <w:lang w:val="uk-UA"/>
        </w:rPr>
      </w:pPr>
      <w:r w:rsidRPr="0042216C">
        <w:rPr>
          <w:sz w:val="20"/>
          <w:szCs w:val="20"/>
          <w:lang w:val="uk-UA"/>
        </w:rPr>
        <w:t>Загальний відділ.</w:t>
      </w:r>
    </w:p>
    <w:p w:rsidR="00FF43B9" w:rsidRPr="0042216C" w:rsidRDefault="00FF43B9" w:rsidP="00FF43B9">
      <w:pPr>
        <w:widowControl w:val="0"/>
        <w:numPr>
          <w:ilvl w:val="0"/>
          <w:numId w:val="2"/>
        </w:numPr>
        <w:autoSpaceDE w:val="0"/>
        <w:autoSpaceDN w:val="0"/>
        <w:adjustRightInd w:val="0"/>
        <w:rPr>
          <w:sz w:val="20"/>
          <w:szCs w:val="20"/>
          <w:lang w:val="uk-UA"/>
        </w:rPr>
      </w:pPr>
      <w:r w:rsidRPr="0042216C">
        <w:rPr>
          <w:sz w:val="20"/>
          <w:szCs w:val="20"/>
          <w:lang w:val="uk-UA"/>
        </w:rPr>
        <w:t>Департамент МБК та ЗВ (</w:t>
      </w:r>
      <w:r>
        <w:rPr>
          <w:sz w:val="20"/>
          <w:szCs w:val="20"/>
          <w:lang w:val="uk-UA"/>
        </w:rPr>
        <w:t>два</w:t>
      </w:r>
      <w:r w:rsidRPr="0042216C">
        <w:rPr>
          <w:sz w:val="20"/>
          <w:szCs w:val="20"/>
          <w:lang w:val="uk-UA"/>
        </w:rPr>
        <w:t xml:space="preserve"> примірника)</w:t>
      </w:r>
    </w:p>
    <w:p w:rsidR="00FF43B9" w:rsidRPr="00DA05E0" w:rsidRDefault="00FF43B9" w:rsidP="00FF43B9">
      <w:pPr>
        <w:widowControl w:val="0"/>
        <w:autoSpaceDE w:val="0"/>
        <w:autoSpaceDN w:val="0"/>
        <w:adjustRightInd w:val="0"/>
        <w:rPr>
          <w:sz w:val="20"/>
          <w:szCs w:val="20"/>
          <w:lang w:val="uk-UA"/>
        </w:rPr>
      </w:pPr>
      <w:r>
        <w:rPr>
          <w:sz w:val="20"/>
          <w:szCs w:val="20"/>
          <w:lang w:val="uk-UA"/>
        </w:rPr>
        <w:t xml:space="preserve">Рішення оприлюднено на офіційному веб-порталі Чернівецької міської ради в мережі Інтернет </w:t>
      </w:r>
    </w:p>
    <w:p w:rsidR="00FF43B9" w:rsidRPr="00370FC5" w:rsidRDefault="00FF43B9" w:rsidP="00FF43B9">
      <w:pPr>
        <w:jc w:val="center"/>
        <w:rPr>
          <w:b/>
          <w:sz w:val="27"/>
          <w:szCs w:val="27"/>
        </w:rPr>
      </w:pPr>
      <w:r w:rsidRPr="00370FC5">
        <w:rPr>
          <w:b/>
          <w:sz w:val="27"/>
          <w:szCs w:val="27"/>
        </w:rPr>
        <w:lastRenderedPageBreak/>
        <w:t xml:space="preserve">Інформація про стан залучення коштів замовників у якості плати </w:t>
      </w:r>
    </w:p>
    <w:p w:rsidR="00FF43B9" w:rsidRPr="00370FC5" w:rsidRDefault="00FF43B9" w:rsidP="00FF43B9">
      <w:pPr>
        <w:jc w:val="center"/>
        <w:rPr>
          <w:b/>
          <w:sz w:val="27"/>
          <w:szCs w:val="27"/>
        </w:rPr>
      </w:pPr>
      <w:r w:rsidRPr="00370FC5">
        <w:rPr>
          <w:b/>
          <w:sz w:val="27"/>
          <w:szCs w:val="27"/>
        </w:rPr>
        <w:t>за користування окремими елементами благоустрою комунальної власності</w:t>
      </w:r>
      <w:r>
        <w:rPr>
          <w:b/>
          <w:sz w:val="27"/>
          <w:szCs w:val="27"/>
        </w:rPr>
        <w:t xml:space="preserve"> для розміщення</w:t>
      </w:r>
      <w:r w:rsidRPr="00370FC5">
        <w:rPr>
          <w:b/>
          <w:sz w:val="27"/>
          <w:szCs w:val="27"/>
        </w:rPr>
        <w:t xml:space="preserve"> літніх торгових майданчиків і тимчасових споруд для провадження підприємницької діяльності </w:t>
      </w:r>
    </w:p>
    <w:p w:rsidR="00FF43B9" w:rsidRPr="00370FC5" w:rsidRDefault="00FF43B9" w:rsidP="00FF43B9">
      <w:pPr>
        <w:jc w:val="center"/>
        <w:rPr>
          <w:b/>
          <w:sz w:val="27"/>
          <w:szCs w:val="27"/>
        </w:rPr>
      </w:pPr>
      <w:r w:rsidRPr="00370FC5">
        <w:rPr>
          <w:b/>
          <w:sz w:val="27"/>
          <w:szCs w:val="27"/>
        </w:rPr>
        <w:t>на території м.Чернівців</w:t>
      </w:r>
    </w:p>
    <w:p w:rsidR="00FF43B9" w:rsidRDefault="00FF43B9" w:rsidP="00FF43B9">
      <w:pPr>
        <w:jc w:val="center"/>
        <w:rPr>
          <w:b/>
          <w:sz w:val="12"/>
          <w:szCs w:val="12"/>
        </w:rPr>
      </w:pPr>
    </w:p>
    <w:p w:rsidR="00FF43B9" w:rsidRPr="00370FC5" w:rsidRDefault="00FF43B9" w:rsidP="00FF43B9">
      <w:pPr>
        <w:jc w:val="center"/>
        <w:rPr>
          <w:b/>
          <w:sz w:val="12"/>
          <w:szCs w:val="12"/>
        </w:rPr>
      </w:pPr>
    </w:p>
    <w:p w:rsidR="00FF43B9" w:rsidRPr="00370FC5" w:rsidRDefault="00FF43B9" w:rsidP="00FF43B9">
      <w:pPr>
        <w:ind w:firstLine="540"/>
        <w:jc w:val="both"/>
        <w:rPr>
          <w:sz w:val="27"/>
          <w:szCs w:val="27"/>
        </w:rPr>
      </w:pPr>
      <w:r w:rsidRPr="00370FC5">
        <w:rPr>
          <w:sz w:val="27"/>
          <w:szCs w:val="27"/>
        </w:rPr>
        <w:t>Порядок розміщення тимчасових споруд та залучення коштів замовників у якості плати за користування окремими елементами благоустрою комунальної власності врегульовано Законом України «Про благоустрій населених пунктів», наказом Міністерства регіонального розвитку, будівництва та житлово-комунального господарства України від 21.10.2011р. «Про затвердження порядку розміщення тимчасових споруд для провадження підприємницької діяльності».</w:t>
      </w:r>
    </w:p>
    <w:p w:rsidR="00FF43B9" w:rsidRPr="00370FC5" w:rsidRDefault="00FF43B9" w:rsidP="00FF43B9">
      <w:pPr>
        <w:ind w:firstLine="540"/>
        <w:jc w:val="both"/>
        <w:rPr>
          <w:sz w:val="27"/>
          <w:szCs w:val="27"/>
        </w:rPr>
      </w:pPr>
      <w:r w:rsidRPr="00370FC5">
        <w:rPr>
          <w:sz w:val="27"/>
          <w:szCs w:val="27"/>
        </w:rPr>
        <w:t>У зв’язку з масовим оскарженням у 2014 році  органами прокуратури права передачі окремих земельних ділянок в сервітутне користування для розміщення тимчасових споруд, виникла необхідність врегулювання порядку надання в користування земельних ділянок для розміщення літніх торгових майданчиків та пересувних тимчасових споруд на території міста Чернівців.</w:t>
      </w:r>
    </w:p>
    <w:p w:rsidR="00FF43B9" w:rsidRPr="00370FC5" w:rsidRDefault="00FF43B9" w:rsidP="00FF43B9">
      <w:pPr>
        <w:ind w:firstLine="540"/>
        <w:jc w:val="both"/>
        <w:rPr>
          <w:sz w:val="27"/>
          <w:szCs w:val="27"/>
        </w:rPr>
      </w:pPr>
      <w:r w:rsidRPr="00370FC5">
        <w:rPr>
          <w:sz w:val="27"/>
          <w:szCs w:val="27"/>
        </w:rPr>
        <w:t>З метою встановлення порядку, обов’язкового до виконання всіма суб’єктами господарювання, рішенням Чернівецької міської ради від 27.02.2015р. №1535 затверджено схему зонального розподілу території міста Чернівців, середню базову ставку плати та примірний договір на право тимчасового користування окремими елементами благоустрою комунальної власності.</w:t>
      </w:r>
    </w:p>
    <w:p w:rsidR="00FF43B9" w:rsidRPr="00370FC5" w:rsidRDefault="00FF43B9" w:rsidP="00FF43B9">
      <w:pPr>
        <w:ind w:firstLine="540"/>
        <w:jc w:val="both"/>
        <w:rPr>
          <w:sz w:val="27"/>
          <w:szCs w:val="27"/>
        </w:rPr>
      </w:pPr>
      <w:r w:rsidRPr="00370FC5">
        <w:rPr>
          <w:sz w:val="27"/>
          <w:szCs w:val="27"/>
        </w:rPr>
        <w:t>На сьогоднішній день, на рівні м.Чернівців, порядок та умови отримання права користування окремими елементами благоустрою комунальної власності для розміщення літніх торгових майданчиків та пересувних тимчасових споруд врегульовано Положенням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затвердженого рішенням Чернівецької міської ради від 04.02.2016р. №95.</w:t>
      </w:r>
    </w:p>
    <w:p w:rsidR="00FF43B9" w:rsidRPr="00370FC5" w:rsidRDefault="00FF43B9" w:rsidP="00FF43B9">
      <w:pPr>
        <w:ind w:firstLine="540"/>
        <w:jc w:val="both"/>
        <w:rPr>
          <w:sz w:val="27"/>
          <w:szCs w:val="27"/>
        </w:rPr>
      </w:pPr>
      <w:r w:rsidRPr="00370FC5">
        <w:rPr>
          <w:sz w:val="27"/>
          <w:szCs w:val="27"/>
        </w:rPr>
        <w:t>Вищезазначеним Положенням врегульовано та регламентовано:</w:t>
      </w:r>
    </w:p>
    <w:p w:rsidR="00FF43B9" w:rsidRPr="00370FC5" w:rsidRDefault="00FF43B9" w:rsidP="00FF43B9">
      <w:pPr>
        <w:jc w:val="both"/>
        <w:rPr>
          <w:sz w:val="27"/>
          <w:szCs w:val="27"/>
        </w:rPr>
      </w:pPr>
      <w:r w:rsidRPr="00370FC5">
        <w:rPr>
          <w:sz w:val="27"/>
          <w:szCs w:val="27"/>
        </w:rPr>
        <w:t>- перелік вихідної документації замовника для встановлення намірів та можливості розміщення пересувної тимчасової споруди;</w:t>
      </w:r>
    </w:p>
    <w:p w:rsidR="00FF43B9" w:rsidRPr="00370FC5" w:rsidRDefault="00FF43B9" w:rsidP="00FF43B9">
      <w:pPr>
        <w:jc w:val="both"/>
        <w:rPr>
          <w:sz w:val="27"/>
          <w:szCs w:val="27"/>
        </w:rPr>
      </w:pPr>
      <w:r w:rsidRPr="00370FC5">
        <w:rPr>
          <w:sz w:val="27"/>
          <w:szCs w:val="27"/>
        </w:rPr>
        <w:t>- механізм отримання дозволу на право тимчасового користування елементами благоустрою в залежності від категорії тимчасової споруди;</w:t>
      </w:r>
    </w:p>
    <w:p w:rsidR="00FF43B9" w:rsidRPr="00370FC5" w:rsidRDefault="00FF43B9" w:rsidP="00FF43B9">
      <w:pPr>
        <w:jc w:val="both"/>
        <w:rPr>
          <w:sz w:val="27"/>
          <w:szCs w:val="27"/>
        </w:rPr>
      </w:pPr>
      <w:r w:rsidRPr="00370FC5">
        <w:rPr>
          <w:sz w:val="27"/>
          <w:szCs w:val="27"/>
        </w:rPr>
        <w:t>- порядок розрахунку плати за користування окремими елементами благоустрою з врахуванням зони розміщення та категорії тимчасової споруди;</w:t>
      </w:r>
    </w:p>
    <w:p w:rsidR="00FF43B9" w:rsidRPr="00370FC5" w:rsidRDefault="00FF43B9" w:rsidP="00FF43B9">
      <w:pPr>
        <w:jc w:val="both"/>
        <w:rPr>
          <w:sz w:val="27"/>
          <w:szCs w:val="27"/>
        </w:rPr>
      </w:pPr>
      <w:r w:rsidRPr="00370FC5">
        <w:rPr>
          <w:sz w:val="27"/>
          <w:szCs w:val="27"/>
        </w:rPr>
        <w:t>- порядок адміністрування, укладення, внесення змін та припинення договорів на право тимчасового користування окремими елементами благоустрою.</w:t>
      </w:r>
    </w:p>
    <w:p w:rsidR="00FF43B9" w:rsidRPr="00370FC5" w:rsidRDefault="00FF43B9" w:rsidP="00FF43B9">
      <w:pPr>
        <w:ind w:firstLine="540"/>
        <w:jc w:val="both"/>
        <w:rPr>
          <w:sz w:val="27"/>
          <w:szCs w:val="27"/>
        </w:rPr>
      </w:pPr>
      <w:r w:rsidRPr="00370FC5">
        <w:rPr>
          <w:sz w:val="27"/>
          <w:szCs w:val="27"/>
        </w:rPr>
        <w:t>Відповідно до Положення, повноваження щодо адміністрування, укладання та припинення договорів на право тимчасового користування окремими елементами благоустрою міста Чернівців покладено на відділ контролю платежів та аналізу виконання договорів оренди землі при департаменті містобудівного комплексу та земельних відносин Чернівецької міської ради.</w:t>
      </w:r>
    </w:p>
    <w:p w:rsidR="00FF43B9" w:rsidRDefault="00FF43B9" w:rsidP="00FF43B9">
      <w:pPr>
        <w:ind w:firstLine="540"/>
        <w:jc w:val="both"/>
        <w:rPr>
          <w:color w:val="000000"/>
          <w:sz w:val="27"/>
          <w:szCs w:val="27"/>
        </w:rPr>
      </w:pPr>
      <w:r w:rsidRPr="00370FC5">
        <w:rPr>
          <w:sz w:val="27"/>
          <w:szCs w:val="27"/>
        </w:rPr>
        <w:t xml:space="preserve">На виконання вищезазначеного Положення, Чернівецькою міською радою, в особі департаменту містобудівного комплексу та земельних </w:t>
      </w:r>
      <w:r w:rsidRPr="00370FC5">
        <w:rPr>
          <w:color w:val="000000"/>
          <w:sz w:val="27"/>
          <w:szCs w:val="27"/>
        </w:rPr>
        <w:t>відносин, як уповноваженого органу, поза конкурсом укладено:</w:t>
      </w:r>
    </w:p>
    <w:p w:rsidR="00FF43B9" w:rsidRPr="00146FE0" w:rsidRDefault="00FF43B9" w:rsidP="00FF43B9">
      <w:pPr>
        <w:ind w:firstLine="540"/>
        <w:jc w:val="both"/>
        <w:rPr>
          <w:color w:val="000000"/>
          <w:sz w:val="16"/>
          <w:szCs w:val="16"/>
        </w:rPr>
      </w:pPr>
    </w:p>
    <w:p w:rsidR="00FF43B9" w:rsidRDefault="00FF43B9" w:rsidP="00FF43B9">
      <w:pPr>
        <w:jc w:val="center"/>
        <w:rPr>
          <w:b/>
          <w:sz w:val="27"/>
          <w:szCs w:val="27"/>
        </w:rPr>
      </w:pPr>
      <w:r w:rsidRPr="00370FC5">
        <w:rPr>
          <w:b/>
          <w:sz w:val="27"/>
          <w:szCs w:val="27"/>
        </w:rPr>
        <w:t>Кількість укладених договорів на право тимчасового користування окремими елементами благоустрою у 2016-2018 роках (за 10 місяців), шт.</w:t>
      </w:r>
    </w:p>
    <w:tbl>
      <w:tblPr>
        <w:tblW w:w="8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420"/>
        <w:gridCol w:w="1440"/>
        <w:gridCol w:w="1440"/>
        <w:gridCol w:w="1611"/>
      </w:tblGrid>
      <w:tr w:rsidR="00FF43B9" w:rsidRPr="00146FE0" w:rsidTr="00815D3D">
        <w:trPr>
          <w:jc w:val="center"/>
        </w:trPr>
        <w:tc>
          <w:tcPr>
            <w:tcW w:w="648" w:type="dxa"/>
            <w:vMerge w:val="restart"/>
            <w:shd w:val="clear" w:color="auto" w:fill="auto"/>
            <w:vAlign w:val="center"/>
          </w:tcPr>
          <w:p w:rsidR="00FF43B9" w:rsidRPr="00146FE0" w:rsidRDefault="00FF43B9" w:rsidP="00815D3D">
            <w:pPr>
              <w:jc w:val="center"/>
              <w:rPr>
                <w:sz w:val="26"/>
                <w:szCs w:val="26"/>
              </w:rPr>
            </w:pPr>
            <w:r w:rsidRPr="00146FE0">
              <w:rPr>
                <w:sz w:val="26"/>
                <w:szCs w:val="26"/>
              </w:rPr>
              <w:t>№ з/п</w:t>
            </w:r>
          </w:p>
        </w:tc>
        <w:tc>
          <w:tcPr>
            <w:tcW w:w="3420" w:type="dxa"/>
            <w:vMerge w:val="restart"/>
            <w:shd w:val="clear" w:color="auto" w:fill="auto"/>
            <w:vAlign w:val="center"/>
          </w:tcPr>
          <w:p w:rsidR="00FF43B9" w:rsidRPr="00146FE0" w:rsidRDefault="00FF43B9" w:rsidP="00815D3D">
            <w:pPr>
              <w:jc w:val="center"/>
              <w:rPr>
                <w:sz w:val="26"/>
                <w:szCs w:val="26"/>
              </w:rPr>
            </w:pPr>
            <w:r w:rsidRPr="00146FE0">
              <w:rPr>
                <w:sz w:val="26"/>
                <w:szCs w:val="26"/>
              </w:rPr>
              <w:t>Категорія тимчасової споруди</w:t>
            </w:r>
          </w:p>
        </w:tc>
        <w:tc>
          <w:tcPr>
            <w:tcW w:w="4491" w:type="dxa"/>
            <w:gridSpan w:val="3"/>
            <w:shd w:val="clear" w:color="auto" w:fill="auto"/>
            <w:vAlign w:val="center"/>
          </w:tcPr>
          <w:p w:rsidR="00FF43B9" w:rsidRPr="00146FE0" w:rsidRDefault="00FF43B9" w:rsidP="00815D3D">
            <w:pPr>
              <w:jc w:val="center"/>
              <w:rPr>
                <w:sz w:val="26"/>
                <w:szCs w:val="26"/>
              </w:rPr>
            </w:pPr>
            <w:r w:rsidRPr="00146FE0">
              <w:rPr>
                <w:sz w:val="26"/>
                <w:szCs w:val="26"/>
              </w:rPr>
              <w:t>Роки</w:t>
            </w:r>
          </w:p>
        </w:tc>
      </w:tr>
      <w:tr w:rsidR="00FF43B9" w:rsidRPr="00146FE0" w:rsidTr="00815D3D">
        <w:trPr>
          <w:jc w:val="center"/>
        </w:trPr>
        <w:tc>
          <w:tcPr>
            <w:tcW w:w="648" w:type="dxa"/>
            <w:vMerge/>
            <w:shd w:val="clear" w:color="auto" w:fill="auto"/>
            <w:vAlign w:val="center"/>
          </w:tcPr>
          <w:p w:rsidR="00FF43B9" w:rsidRPr="00146FE0" w:rsidRDefault="00FF43B9" w:rsidP="00815D3D">
            <w:pPr>
              <w:jc w:val="center"/>
              <w:rPr>
                <w:sz w:val="26"/>
                <w:szCs w:val="26"/>
              </w:rPr>
            </w:pPr>
          </w:p>
        </w:tc>
        <w:tc>
          <w:tcPr>
            <w:tcW w:w="3420" w:type="dxa"/>
            <w:vMerge/>
            <w:shd w:val="clear" w:color="auto" w:fill="auto"/>
            <w:vAlign w:val="center"/>
          </w:tcPr>
          <w:p w:rsidR="00FF43B9" w:rsidRPr="00146FE0" w:rsidRDefault="00FF43B9" w:rsidP="00815D3D">
            <w:pPr>
              <w:jc w:val="center"/>
              <w:rPr>
                <w:sz w:val="26"/>
                <w:szCs w:val="26"/>
              </w:rPr>
            </w:pPr>
          </w:p>
        </w:tc>
        <w:tc>
          <w:tcPr>
            <w:tcW w:w="1440" w:type="dxa"/>
            <w:shd w:val="clear" w:color="auto" w:fill="auto"/>
            <w:vAlign w:val="center"/>
          </w:tcPr>
          <w:p w:rsidR="00FF43B9" w:rsidRPr="00146FE0" w:rsidRDefault="00FF43B9" w:rsidP="00815D3D">
            <w:pPr>
              <w:jc w:val="center"/>
              <w:rPr>
                <w:sz w:val="26"/>
                <w:szCs w:val="26"/>
              </w:rPr>
            </w:pPr>
            <w:r w:rsidRPr="00146FE0">
              <w:rPr>
                <w:sz w:val="26"/>
                <w:szCs w:val="26"/>
              </w:rPr>
              <w:t>2016</w:t>
            </w:r>
          </w:p>
        </w:tc>
        <w:tc>
          <w:tcPr>
            <w:tcW w:w="1440" w:type="dxa"/>
            <w:shd w:val="clear" w:color="auto" w:fill="auto"/>
            <w:vAlign w:val="center"/>
          </w:tcPr>
          <w:p w:rsidR="00FF43B9" w:rsidRPr="00146FE0" w:rsidRDefault="00FF43B9" w:rsidP="00815D3D">
            <w:pPr>
              <w:jc w:val="center"/>
              <w:rPr>
                <w:sz w:val="26"/>
                <w:szCs w:val="26"/>
              </w:rPr>
            </w:pPr>
            <w:r w:rsidRPr="00146FE0">
              <w:rPr>
                <w:sz w:val="26"/>
                <w:szCs w:val="26"/>
              </w:rPr>
              <w:t>2017</w:t>
            </w:r>
          </w:p>
        </w:tc>
        <w:tc>
          <w:tcPr>
            <w:tcW w:w="1611" w:type="dxa"/>
            <w:shd w:val="clear" w:color="auto" w:fill="auto"/>
            <w:vAlign w:val="center"/>
          </w:tcPr>
          <w:p w:rsidR="00FF43B9" w:rsidRPr="00146FE0" w:rsidRDefault="00FF43B9" w:rsidP="00815D3D">
            <w:pPr>
              <w:jc w:val="center"/>
              <w:rPr>
                <w:sz w:val="26"/>
                <w:szCs w:val="26"/>
              </w:rPr>
            </w:pPr>
            <w:r w:rsidRPr="00146FE0">
              <w:rPr>
                <w:sz w:val="26"/>
                <w:szCs w:val="26"/>
              </w:rPr>
              <w:t>2018</w:t>
            </w:r>
          </w:p>
        </w:tc>
      </w:tr>
      <w:tr w:rsidR="00FF43B9" w:rsidRPr="00146FE0" w:rsidTr="00815D3D">
        <w:trPr>
          <w:jc w:val="center"/>
        </w:trPr>
        <w:tc>
          <w:tcPr>
            <w:tcW w:w="648" w:type="dxa"/>
            <w:shd w:val="clear" w:color="auto" w:fill="auto"/>
            <w:vAlign w:val="center"/>
          </w:tcPr>
          <w:p w:rsidR="00FF43B9" w:rsidRPr="00146FE0" w:rsidRDefault="00FF43B9" w:rsidP="00815D3D">
            <w:pPr>
              <w:jc w:val="center"/>
              <w:rPr>
                <w:sz w:val="26"/>
                <w:szCs w:val="26"/>
              </w:rPr>
            </w:pPr>
            <w:r w:rsidRPr="00146FE0">
              <w:rPr>
                <w:sz w:val="26"/>
                <w:szCs w:val="26"/>
              </w:rPr>
              <w:t>1</w:t>
            </w:r>
          </w:p>
        </w:tc>
        <w:tc>
          <w:tcPr>
            <w:tcW w:w="3420" w:type="dxa"/>
            <w:shd w:val="clear" w:color="auto" w:fill="auto"/>
            <w:vAlign w:val="center"/>
          </w:tcPr>
          <w:p w:rsidR="00FF43B9" w:rsidRPr="00146FE0" w:rsidRDefault="00FF43B9" w:rsidP="00815D3D">
            <w:pPr>
              <w:rPr>
                <w:color w:val="000000"/>
                <w:sz w:val="26"/>
                <w:szCs w:val="26"/>
              </w:rPr>
            </w:pPr>
            <w:r w:rsidRPr="00146FE0">
              <w:rPr>
                <w:color w:val="000000"/>
                <w:sz w:val="26"/>
                <w:szCs w:val="26"/>
              </w:rPr>
              <w:t>Літні торгові майданчики (далі ЛТМ)</w:t>
            </w:r>
          </w:p>
        </w:tc>
        <w:tc>
          <w:tcPr>
            <w:tcW w:w="1440"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32</w:t>
            </w:r>
          </w:p>
        </w:tc>
        <w:tc>
          <w:tcPr>
            <w:tcW w:w="1440"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49</w:t>
            </w:r>
          </w:p>
        </w:tc>
        <w:tc>
          <w:tcPr>
            <w:tcW w:w="1611"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53</w:t>
            </w:r>
          </w:p>
        </w:tc>
      </w:tr>
      <w:tr w:rsidR="00FF43B9" w:rsidRPr="00146FE0" w:rsidTr="00815D3D">
        <w:trPr>
          <w:jc w:val="center"/>
        </w:trPr>
        <w:tc>
          <w:tcPr>
            <w:tcW w:w="648" w:type="dxa"/>
            <w:shd w:val="clear" w:color="auto" w:fill="auto"/>
            <w:vAlign w:val="center"/>
          </w:tcPr>
          <w:p w:rsidR="00FF43B9" w:rsidRPr="00146FE0" w:rsidRDefault="00FF43B9" w:rsidP="00815D3D">
            <w:pPr>
              <w:jc w:val="center"/>
              <w:rPr>
                <w:sz w:val="26"/>
                <w:szCs w:val="26"/>
              </w:rPr>
            </w:pPr>
            <w:r w:rsidRPr="00146FE0">
              <w:rPr>
                <w:sz w:val="26"/>
                <w:szCs w:val="26"/>
              </w:rPr>
              <w:t>2</w:t>
            </w:r>
          </w:p>
        </w:tc>
        <w:tc>
          <w:tcPr>
            <w:tcW w:w="3420" w:type="dxa"/>
            <w:shd w:val="clear" w:color="auto" w:fill="auto"/>
            <w:vAlign w:val="center"/>
          </w:tcPr>
          <w:p w:rsidR="00FF43B9" w:rsidRPr="00146FE0" w:rsidRDefault="00FF43B9" w:rsidP="00815D3D">
            <w:pPr>
              <w:rPr>
                <w:color w:val="000000"/>
                <w:sz w:val="26"/>
                <w:szCs w:val="26"/>
              </w:rPr>
            </w:pPr>
            <w:r w:rsidRPr="00146FE0">
              <w:rPr>
                <w:color w:val="000000"/>
                <w:sz w:val="26"/>
                <w:szCs w:val="26"/>
              </w:rPr>
              <w:t>Пересувні тимчасові споруди поза конкурсом (далі ПТС)</w:t>
            </w:r>
          </w:p>
        </w:tc>
        <w:tc>
          <w:tcPr>
            <w:tcW w:w="1440"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42</w:t>
            </w:r>
          </w:p>
        </w:tc>
        <w:tc>
          <w:tcPr>
            <w:tcW w:w="1440"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55</w:t>
            </w:r>
          </w:p>
        </w:tc>
        <w:tc>
          <w:tcPr>
            <w:tcW w:w="1611"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53</w:t>
            </w:r>
          </w:p>
        </w:tc>
      </w:tr>
      <w:tr w:rsidR="00FF43B9" w:rsidRPr="00146FE0" w:rsidTr="00815D3D">
        <w:trPr>
          <w:jc w:val="center"/>
        </w:trPr>
        <w:tc>
          <w:tcPr>
            <w:tcW w:w="4068" w:type="dxa"/>
            <w:gridSpan w:val="2"/>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Всього</w:t>
            </w:r>
          </w:p>
        </w:tc>
        <w:tc>
          <w:tcPr>
            <w:tcW w:w="1440"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74</w:t>
            </w:r>
          </w:p>
        </w:tc>
        <w:tc>
          <w:tcPr>
            <w:tcW w:w="1440"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104</w:t>
            </w:r>
          </w:p>
        </w:tc>
        <w:tc>
          <w:tcPr>
            <w:tcW w:w="1611"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106</w:t>
            </w:r>
          </w:p>
        </w:tc>
      </w:tr>
    </w:tbl>
    <w:p w:rsidR="00FF43B9" w:rsidRPr="00370FC5" w:rsidRDefault="00FF43B9" w:rsidP="00FF43B9">
      <w:pPr>
        <w:ind w:firstLine="540"/>
        <w:jc w:val="both"/>
        <w:rPr>
          <w:sz w:val="27"/>
          <w:szCs w:val="27"/>
        </w:rPr>
      </w:pPr>
      <w:r w:rsidRPr="00370FC5">
        <w:rPr>
          <w:sz w:val="27"/>
          <w:szCs w:val="27"/>
        </w:rPr>
        <w:t xml:space="preserve">На виконання укладених договорів на право тимчасового користування окремими елементами благоустрою комунальної власності для розміщення ЛТМ за 10 місяців 2018 року до фонду соціально-економічного розвитку м.Чернівців залучені кошти в сумі – </w:t>
      </w:r>
      <w:r>
        <w:rPr>
          <w:sz w:val="27"/>
          <w:szCs w:val="27"/>
        </w:rPr>
        <w:t>737 418,16</w:t>
      </w:r>
      <w:r w:rsidRPr="00370FC5">
        <w:rPr>
          <w:sz w:val="27"/>
          <w:szCs w:val="27"/>
        </w:rPr>
        <w:t xml:space="preserve"> грн.</w:t>
      </w:r>
      <w:r>
        <w:rPr>
          <w:sz w:val="27"/>
          <w:szCs w:val="27"/>
        </w:rPr>
        <w:t xml:space="preserve"> (в тому числі, 38 311,77 грн. на виконання договорів 2017 року)</w:t>
      </w:r>
      <w:r w:rsidRPr="00370FC5">
        <w:rPr>
          <w:sz w:val="27"/>
          <w:szCs w:val="27"/>
        </w:rPr>
        <w:t xml:space="preserve">, за 10 місяців 2017 року – </w:t>
      </w:r>
      <w:r>
        <w:rPr>
          <w:sz w:val="27"/>
          <w:szCs w:val="27"/>
        </w:rPr>
        <w:t>635 434,65</w:t>
      </w:r>
      <w:r w:rsidRPr="00370FC5">
        <w:rPr>
          <w:sz w:val="27"/>
          <w:szCs w:val="27"/>
        </w:rPr>
        <w:t xml:space="preserve"> грн.</w:t>
      </w:r>
      <w:r>
        <w:rPr>
          <w:sz w:val="27"/>
          <w:szCs w:val="27"/>
        </w:rPr>
        <w:t xml:space="preserve">              (в тому числі, 42 019,71 грн. на виконання договорів 2016 року)</w:t>
      </w:r>
      <w:r w:rsidRPr="00370FC5">
        <w:rPr>
          <w:sz w:val="27"/>
          <w:szCs w:val="27"/>
        </w:rPr>
        <w:t xml:space="preserve">, за аналогічний період 2016 року – </w:t>
      </w:r>
      <w:r w:rsidRPr="00370FC5">
        <w:rPr>
          <w:color w:val="000000"/>
          <w:sz w:val="27"/>
          <w:szCs w:val="27"/>
        </w:rPr>
        <w:t xml:space="preserve">407 376,02 грн. </w:t>
      </w:r>
      <w:r w:rsidRPr="00370FC5">
        <w:rPr>
          <w:sz w:val="27"/>
          <w:szCs w:val="27"/>
        </w:rPr>
        <w:t>Таким чином, прослідковується позитивна динаміка та зростання надходжень до бюджету (у 2018 році порівняно з 2017 роком надходження зросли на 1</w:t>
      </w:r>
      <w:r>
        <w:rPr>
          <w:sz w:val="27"/>
          <w:szCs w:val="27"/>
        </w:rPr>
        <w:t>6</w:t>
      </w:r>
      <w:r w:rsidRPr="00370FC5">
        <w:rPr>
          <w:sz w:val="27"/>
          <w:szCs w:val="27"/>
        </w:rPr>
        <w:t>%, а у 2017 роц</w:t>
      </w:r>
      <w:r>
        <w:rPr>
          <w:sz w:val="27"/>
          <w:szCs w:val="27"/>
        </w:rPr>
        <w:t>і порівняно з 2016 роком – на 55</w:t>
      </w:r>
      <w:r w:rsidRPr="00370FC5">
        <w:rPr>
          <w:sz w:val="27"/>
          <w:szCs w:val="27"/>
        </w:rPr>
        <w:t>,9</w:t>
      </w:r>
      <w:r>
        <w:rPr>
          <w:sz w:val="27"/>
          <w:szCs w:val="27"/>
        </w:rPr>
        <w:t>0</w:t>
      </w:r>
      <w:r w:rsidRPr="00370FC5">
        <w:rPr>
          <w:sz w:val="27"/>
          <w:szCs w:val="27"/>
        </w:rPr>
        <w:t xml:space="preserve">%). </w:t>
      </w:r>
    </w:p>
    <w:p w:rsidR="00FF43B9" w:rsidRPr="00370FC5" w:rsidRDefault="00FF43B9" w:rsidP="00FF43B9">
      <w:pPr>
        <w:ind w:firstLine="540"/>
        <w:jc w:val="both"/>
        <w:rPr>
          <w:sz w:val="27"/>
          <w:szCs w:val="27"/>
        </w:rPr>
      </w:pPr>
      <w:r w:rsidRPr="00370FC5">
        <w:rPr>
          <w:sz w:val="27"/>
          <w:szCs w:val="27"/>
        </w:rPr>
        <w:t xml:space="preserve">Сума надходжень за право тимчасового користування окремими елементами благоустрою для розміщення ПТС поза конкурсом за 10 місяців 2018 року склала – </w:t>
      </w:r>
      <w:r>
        <w:rPr>
          <w:sz w:val="27"/>
          <w:szCs w:val="27"/>
        </w:rPr>
        <w:t>101 854,76</w:t>
      </w:r>
      <w:r w:rsidRPr="00370FC5">
        <w:rPr>
          <w:sz w:val="27"/>
          <w:szCs w:val="27"/>
        </w:rPr>
        <w:t xml:space="preserve"> грн., за 10 місяців 2017 року – </w:t>
      </w:r>
      <w:r>
        <w:rPr>
          <w:sz w:val="27"/>
          <w:szCs w:val="27"/>
        </w:rPr>
        <w:t>128 558,25</w:t>
      </w:r>
      <w:r w:rsidRPr="00370FC5">
        <w:rPr>
          <w:sz w:val="27"/>
          <w:szCs w:val="27"/>
        </w:rPr>
        <w:t xml:space="preserve"> грн.</w:t>
      </w:r>
      <w:r>
        <w:rPr>
          <w:sz w:val="27"/>
          <w:szCs w:val="27"/>
        </w:rPr>
        <w:t xml:space="preserve">               (в тому числі, 12 231,74 грн. на виконання договорів 2016 року)</w:t>
      </w:r>
      <w:r w:rsidRPr="00370FC5">
        <w:rPr>
          <w:sz w:val="27"/>
          <w:szCs w:val="27"/>
        </w:rPr>
        <w:t>, за аналогічний період 2016 року – 164 494,1 грн.</w:t>
      </w:r>
    </w:p>
    <w:p w:rsidR="00FF43B9" w:rsidRPr="00370FC5" w:rsidRDefault="00FF43B9" w:rsidP="00FF43B9">
      <w:pPr>
        <w:ind w:firstLine="540"/>
        <w:jc w:val="both"/>
        <w:rPr>
          <w:sz w:val="27"/>
          <w:szCs w:val="27"/>
        </w:rPr>
      </w:pPr>
      <w:r w:rsidRPr="00370FC5">
        <w:rPr>
          <w:sz w:val="27"/>
          <w:szCs w:val="27"/>
        </w:rPr>
        <w:t>З метою розвитку конкуренції, обмеження монополізму, визначення найкращого естетичного вигляду пересувних тимчасових споруд, рішенням Виконавчого комітету Чернівецької міської ради від 29.03.2016р. №186/6 затверджено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w:t>
      </w:r>
    </w:p>
    <w:p w:rsidR="00FF43B9" w:rsidRPr="00370FC5" w:rsidRDefault="00FF43B9" w:rsidP="00FF43B9">
      <w:pPr>
        <w:ind w:firstLine="540"/>
        <w:jc w:val="both"/>
        <w:rPr>
          <w:sz w:val="27"/>
          <w:szCs w:val="27"/>
        </w:rPr>
      </w:pPr>
      <w:r w:rsidRPr="00370FC5">
        <w:rPr>
          <w:sz w:val="27"/>
          <w:szCs w:val="27"/>
        </w:rPr>
        <w:t>На виконання норм вищезазначеного Положення, департаментом містобудівного комплексу та земельних відносин, як уповноваженим органом оголошено, а конкурсним комітетом проведено, конкурси з:</w:t>
      </w:r>
    </w:p>
    <w:p w:rsidR="00FF43B9" w:rsidRPr="00370FC5" w:rsidRDefault="00FF43B9" w:rsidP="00FF43B9">
      <w:pPr>
        <w:jc w:val="both"/>
        <w:rPr>
          <w:sz w:val="27"/>
          <w:szCs w:val="27"/>
        </w:rPr>
      </w:pPr>
      <w:r w:rsidRPr="00370FC5">
        <w:rPr>
          <w:sz w:val="27"/>
          <w:szCs w:val="27"/>
        </w:rPr>
        <w:t>- надання права на розміщення пересувних тимчасових споруд з торгівлі кавою та кавовими напоями;</w:t>
      </w:r>
    </w:p>
    <w:p w:rsidR="00FF43B9" w:rsidRPr="00370FC5" w:rsidRDefault="00FF43B9" w:rsidP="00FF43B9">
      <w:pPr>
        <w:jc w:val="both"/>
        <w:rPr>
          <w:sz w:val="27"/>
          <w:szCs w:val="27"/>
        </w:rPr>
      </w:pPr>
      <w:r w:rsidRPr="00370FC5">
        <w:rPr>
          <w:sz w:val="27"/>
          <w:szCs w:val="27"/>
        </w:rPr>
        <w:t>- надання права на розміщення пересувних тимчасових споруд з торгівлі квасом та прохолоджуючими напоями;</w:t>
      </w:r>
    </w:p>
    <w:p w:rsidR="00FF43B9" w:rsidRPr="00370FC5" w:rsidRDefault="00FF43B9" w:rsidP="00FF43B9">
      <w:pPr>
        <w:jc w:val="both"/>
        <w:rPr>
          <w:sz w:val="27"/>
          <w:szCs w:val="27"/>
        </w:rPr>
      </w:pPr>
      <w:r w:rsidRPr="00370FC5">
        <w:rPr>
          <w:sz w:val="27"/>
          <w:szCs w:val="27"/>
        </w:rPr>
        <w:t>- надання права на розміщення пересувних тимчасових споруд для торгівлі морозивом;</w:t>
      </w:r>
    </w:p>
    <w:p w:rsidR="00FF43B9" w:rsidRPr="00370FC5" w:rsidRDefault="00FF43B9" w:rsidP="00FF43B9">
      <w:pPr>
        <w:jc w:val="both"/>
        <w:rPr>
          <w:sz w:val="27"/>
          <w:szCs w:val="27"/>
        </w:rPr>
      </w:pPr>
      <w:r w:rsidRPr="00370FC5">
        <w:rPr>
          <w:sz w:val="27"/>
          <w:szCs w:val="27"/>
        </w:rPr>
        <w:t>- надання права на розміщення пересувних тимчасових споруд для торгівлі баштанними культурами.</w:t>
      </w:r>
    </w:p>
    <w:p w:rsidR="00FF43B9" w:rsidRPr="00370FC5" w:rsidRDefault="00FF43B9" w:rsidP="00FF43B9">
      <w:pPr>
        <w:ind w:firstLine="540"/>
        <w:jc w:val="both"/>
        <w:rPr>
          <w:sz w:val="27"/>
          <w:szCs w:val="27"/>
        </w:rPr>
      </w:pPr>
      <w:r w:rsidRPr="00370FC5">
        <w:rPr>
          <w:sz w:val="27"/>
          <w:szCs w:val="27"/>
        </w:rPr>
        <w:t>Середня кількість конкурсних заявок на отримання права розміщення пересувних тимчасових споруд у 2018 році становила – 5 замовників на об’єкт, у 2017 році – 4 замовники на об’єкт, у 2016 році - 6 замовників на об’єкт.</w:t>
      </w:r>
    </w:p>
    <w:p w:rsidR="00FF43B9" w:rsidRPr="00370FC5" w:rsidRDefault="00FF43B9" w:rsidP="00FF43B9">
      <w:pPr>
        <w:ind w:firstLine="540"/>
        <w:jc w:val="both"/>
        <w:rPr>
          <w:sz w:val="27"/>
          <w:szCs w:val="27"/>
        </w:rPr>
      </w:pPr>
      <w:r w:rsidRPr="00370FC5">
        <w:rPr>
          <w:sz w:val="27"/>
          <w:szCs w:val="27"/>
        </w:rPr>
        <w:lastRenderedPageBreak/>
        <w:t xml:space="preserve">Найвищий рівень комерційного попиту серед замовників склали пропозиції з розміщення тимчасових споруд для торгівлі кавою та кавовими напоями – </w:t>
      </w:r>
      <w:r>
        <w:rPr>
          <w:sz w:val="27"/>
          <w:szCs w:val="27"/>
        </w:rPr>
        <w:t xml:space="preserve">                  </w:t>
      </w:r>
      <w:r w:rsidRPr="00370FC5">
        <w:rPr>
          <w:sz w:val="27"/>
          <w:szCs w:val="27"/>
        </w:rPr>
        <w:t xml:space="preserve">20 об’єктів (у 2018 році) та 15 об’єктів (у 2017 році) і тимчасових споруд для торгівлі квасом та прохолоджуючими напоями – 18 об’єктів (у 2016 році). </w:t>
      </w:r>
    </w:p>
    <w:p w:rsidR="00FF43B9" w:rsidRPr="00370FC5" w:rsidRDefault="00FF43B9" w:rsidP="00FF43B9">
      <w:pPr>
        <w:ind w:firstLine="540"/>
        <w:jc w:val="both"/>
        <w:rPr>
          <w:sz w:val="27"/>
          <w:szCs w:val="27"/>
        </w:rPr>
      </w:pPr>
      <w:r w:rsidRPr="00370FC5">
        <w:rPr>
          <w:sz w:val="27"/>
          <w:szCs w:val="27"/>
        </w:rPr>
        <w:t>Між Чернівецькою міською радою в особі департаменту містобудівного комплексу та земельних відносин, як уповноваженого органу та замовниками на виконання вищевказаного Положення за 10 місяців 2018 року укладено (за результатами конкурсів) – 51 договір на право тимчасового користування окремими елементами благоустрою, за аналогічний період 2017 року –</w:t>
      </w:r>
      <w:r>
        <w:rPr>
          <w:sz w:val="27"/>
          <w:szCs w:val="27"/>
        </w:rPr>
        <w:t xml:space="preserve"> </w:t>
      </w:r>
      <w:r w:rsidRPr="00370FC5">
        <w:rPr>
          <w:sz w:val="27"/>
          <w:szCs w:val="27"/>
        </w:rPr>
        <w:t xml:space="preserve">41 договір, а за 10 місяців 2016 року – 49 договорів. </w:t>
      </w:r>
    </w:p>
    <w:p w:rsidR="00FF43B9" w:rsidRDefault="00FF43B9" w:rsidP="00FF43B9">
      <w:pPr>
        <w:ind w:firstLine="540"/>
        <w:jc w:val="both"/>
        <w:rPr>
          <w:sz w:val="27"/>
          <w:szCs w:val="27"/>
        </w:rPr>
      </w:pPr>
      <w:r w:rsidRPr="00370FC5">
        <w:rPr>
          <w:sz w:val="27"/>
          <w:szCs w:val="27"/>
        </w:rPr>
        <w:t>На виконання укладених договорів на право тимчасового користування окремими елементами благоустрою для розміщення ПТС за результатами конкурсів, департаментом містобудівного комплексу та земельних відносин Чернівецької міської ради до фонду соціально-економічного розвитку міста залучено:</w:t>
      </w:r>
    </w:p>
    <w:p w:rsidR="00FF43B9" w:rsidRPr="00370FC5" w:rsidRDefault="00FF43B9" w:rsidP="00FF43B9">
      <w:pPr>
        <w:ind w:firstLine="540"/>
        <w:jc w:val="both"/>
        <w:rPr>
          <w:sz w:val="16"/>
          <w:szCs w:val="16"/>
        </w:rPr>
      </w:pPr>
    </w:p>
    <w:p w:rsidR="00FF43B9" w:rsidRPr="00370FC5" w:rsidRDefault="00FF43B9" w:rsidP="00FF43B9">
      <w:pPr>
        <w:jc w:val="center"/>
        <w:rPr>
          <w:b/>
          <w:sz w:val="27"/>
          <w:szCs w:val="27"/>
        </w:rPr>
      </w:pPr>
      <w:r w:rsidRPr="00370FC5">
        <w:rPr>
          <w:b/>
          <w:sz w:val="27"/>
          <w:szCs w:val="27"/>
        </w:rPr>
        <w:t>Суми коштів, залучених на виконання договорів на право тимчасового користування окремими елементами благоустрою комунальної власності</w:t>
      </w:r>
    </w:p>
    <w:p w:rsidR="00FF43B9" w:rsidRDefault="00FF43B9" w:rsidP="00FF43B9">
      <w:pPr>
        <w:jc w:val="center"/>
        <w:rPr>
          <w:b/>
          <w:sz w:val="27"/>
          <w:szCs w:val="27"/>
        </w:rPr>
      </w:pPr>
      <w:r w:rsidRPr="00370FC5">
        <w:rPr>
          <w:b/>
          <w:sz w:val="27"/>
          <w:szCs w:val="27"/>
        </w:rPr>
        <w:t>для розміщення ПТС за результатами конкурсів (за 10 місяців), грн.</w:t>
      </w:r>
    </w:p>
    <w:p w:rsidR="00FF43B9" w:rsidRDefault="00FF43B9" w:rsidP="00FF43B9">
      <w:pPr>
        <w:jc w:val="center"/>
        <w:rPr>
          <w:b/>
          <w:sz w:val="27"/>
          <w:szCs w:val="27"/>
        </w:rPr>
      </w:pPr>
    </w:p>
    <w:tbl>
      <w:tblPr>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43"/>
        <w:gridCol w:w="1701"/>
        <w:gridCol w:w="2410"/>
        <w:gridCol w:w="1431"/>
      </w:tblGrid>
      <w:tr w:rsidR="00FF43B9" w:rsidRPr="00146FE0" w:rsidTr="00815D3D">
        <w:tc>
          <w:tcPr>
            <w:tcW w:w="675" w:type="dxa"/>
            <w:vMerge w:val="restart"/>
            <w:shd w:val="clear" w:color="auto" w:fill="auto"/>
            <w:vAlign w:val="center"/>
          </w:tcPr>
          <w:p w:rsidR="00FF43B9" w:rsidRPr="00146FE0" w:rsidRDefault="00FF43B9" w:rsidP="00815D3D">
            <w:pPr>
              <w:jc w:val="center"/>
              <w:rPr>
                <w:sz w:val="26"/>
                <w:szCs w:val="26"/>
              </w:rPr>
            </w:pPr>
            <w:r w:rsidRPr="00146FE0">
              <w:rPr>
                <w:sz w:val="26"/>
                <w:szCs w:val="26"/>
              </w:rPr>
              <w:t>№ з/п</w:t>
            </w:r>
          </w:p>
        </w:tc>
        <w:tc>
          <w:tcPr>
            <w:tcW w:w="3543" w:type="dxa"/>
            <w:vMerge w:val="restart"/>
            <w:shd w:val="clear" w:color="auto" w:fill="auto"/>
            <w:vAlign w:val="center"/>
          </w:tcPr>
          <w:p w:rsidR="00FF43B9" w:rsidRPr="00146FE0" w:rsidRDefault="00FF43B9" w:rsidP="00815D3D">
            <w:pPr>
              <w:jc w:val="center"/>
              <w:rPr>
                <w:sz w:val="26"/>
                <w:szCs w:val="26"/>
              </w:rPr>
            </w:pPr>
            <w:r w:rsidRPr="00146FE0">
              <w:rPr>
                <w:sz w:val="26"/>
                <w:szCs w:val="26"/>
              </w:rPr>
              <w:t>Вид ПТС</w:t>
            </w:r>
          </w:p>
        </w:tc>
        <w:tc>
          <w:tcPr>
            <w:tcW w:w="5542" w:type="dxa"/>
            <w:gridSpan w:val="3"/>
            <w:shd w:val="clear" w:color="auto" w:fill="auto"/>
            <w:vAlign w:val="center"/>
          </w:tcPr>
          <w:p w:rsidR="00FF43B9" w:rsidRPr="00146FE0" w:rsidRDefault="00FF43B9" w:rsidP="00815D3D">
            <w:pPr>
              <w:jc w:val="center"/>
              <w:rPr>
                <w:sz w:val="26"/>
                <w:szCs w:val="26"/>
              </w:rPr>
            </w:pPr>
            <w:r w:rsidRPr="00146FE0">
              <w:rPr>
                <w:sz w:val="26"/>
                <w:szCs w:val="26"/>
              </w:rPr>
              <w:t>Роки</w:t>
            </w:r>
          </w:p>
        </w:tc>
      </w:tr>
      <w:tr w:rsidR="00FF43B9" w:rsidRPr="00146FE0" w:rsidTr="00815D3D">
        <w:tc>
          <w:tcPr>
            <w:tcW w:w="675" w:type="dxa"/>
            <w:vMerge/>
            <w:shd w:val="clear" w:color="auto" w:fill="auto"/>
            <w:vAlign w:val="center"/>
          </w:tcPr>
          <w:p w:rsidR="00FF43B9" w:rsidRPr="00146FE0" w:rsidRDefault="00FF43B9" w:rsidP="00815D3D">
            <w:pPr>
              <w:jc w:val="center"/>
              <w:rPr>
                <w:sz w:val="26"/>
                <w:szCs w:val="26"/>
              </w:rPr>
            </w:pPr>
          </w:p>
        </w:tc>
        <w:tc>
          <w:tcPr>
            <w:tcW w:w="3543" w:type="dxa"/>
            <w:vMerge/>
            <w:shd w:val="clear" w:color="auto" w:fill="auto"/>
            <w:vAlign w:val="center"/>
          </w:tcPr>
          <w:p w:rsidR="00FF43B9" w:rsidRPr="00146FE0" w:rsidRDefault="00FF43B9" w:rsidP="00815D3D">
            <w:pPr>
              <w:jc w:val="center"/>
              <w:rPr>
                <w:sz w:val="26"/>
                <w:szCs w:val="26"/>
              </w:rPr>
            </w:pPr>
          </w:p>
        </w:tc>
        <w:tc>
          <w:tcPr>
            <w:tcW w:w="1701" w:type="dxa"/>
            <w:shd w:val="clear" w:color="auto" w:fill="auto"/>
            <w:vAlign w:val="center"/>
          </w:tcPr>
          <w:p w:rsidR="00FF43B9" w:rsidRPr="00146FE0" w:rsidRDefault="00FF43B9" w:rsidP="00815D3D">
            <w:pPr>
              <w:jc w:val="center"/>
              <w:rPr>
                <w:sz w:val="26"/>
                <w:szCs w:val="26"/>
              </w:rPr>
            </w:pPr>
            <w:r w:rsidRPr="00146FE0">
              <w:rPr>
                <w:sz w:val="26"/>
                <w:szCs w:val="26"/>
              </w:rPr>
              <w:t>2016</w:t>
            </w:r>
          </w:p>
        </w:tc>
        <w:tc>
          <w:tcPr>
            <w:tcW w:w="2410" w:type="dxa"/>
            <w:shd w:val="clear" w:color="auto" w:fill="auto"/>
            <w:vAlign w:val="center"/>
          </w:tcPr>
          <w:p w:rsidR="00FF43B9" w:rsidRPr="00146FE0" w:rsidRDefault="00FF43B9" w:rsidP="00815D3D">
            <w:pPr>
              <w:jc w:val="center"/>
              <w:rPr>
                <w:sz w:val="26"/>
                <w:szCs w:val="26"/>
              </w:rPr>
            </w:pPr>
            <w:r w:rsidRPr="00146FE0">
              <w:rPr>
                <w:sz w:val="26"/>
                <w:szCs w:val="26"/>
              </w:rPr>
              <w:t>2017</w:t>
            </w:r>
          </w:p>
        </w:tc>
        <w:tc>
          <w:tcPr>
            <w:tcW w:w="1431" w:type="dxa"/>
            <w:shd w:val="clear" w:color="auto" w:fill="auto"/>
            <w:vAlign w:val="center"/>
          </w:tcPr>
          <w:p w:rsidR="00FF43B9" w:rsidRPr="00146FE0" w:rsidRDefault="00FF43B9" w:rsidP="00815D3D">
            <w:pPr>
              <w:jc w:val="center"/>
              <w:rPr>
                <w:sz w:val="26"/>
                <w:szCs w:val="26"/>
              </w:rPr>
            </w:pPr>
            <w:r w:rsidRPr="00146FE0">
              <w:rPr>
                <w:sz w:val="26"/>
                <w:szCs w:val="26"/>
              </w:rPr>
              <w:t>2018</w:t>
            </w:r>
          </w:p>
        </w:tc>
      </w:tr>
      <w:tr w:rsidR="00FF43B9" w:rsidRPr="00146FE0" w:rsidTr="00815D3D">
        <w:tc>
          <w:tcPr>
            <w:tcW w:w="675" w:type="dxa"/>
            <w:shd w:val="clear" w:color="auto" w:fill="auto"/>
            <w:vAlign w:val="center"/>
          </w:tcPr>
          <w:p w:rsidR="00FF43B9" w:rsidRPr="00146FE0" w:rsidRDefault="00FF43B9" w:rsidP="00815D3D">
            <w:pPr>
              <w:jc w:val="center"/>
              <w:rPr>
                <w:sz w:val="26"/>
                <w:szCs w:val="26"/>
              </w:rPr>
            </w:pPr>
            <w:r w:rsidRPr="00146FE0">
              <w:rPr>
                <w:sz w:val="26"/>
                <w:szCs w:val="26"/>
              </w:rPr>
              <w:t>1</w:t>
            </w:r>
          </w:p>
        </w:tc>
        <w:tc>
          <w:tcPr>
            <w:tcW w:w="3543" w:type="dxa"/>
            <w:shd w:val="clear" w:color="auto" w:fill="auto"/>
            <w:vAlign w:val="center"/>
          </w:tcPr>
          <w:p w:rsidR="00FF43B9" w:rsidRPr="00146FE0" w:rsidRDefault="00FF43B9" w:rsidP="00815D3D">
            <w:pPr>
              <w:jc w:val="center"/>
              <w:rPr>
                <w:sz w:val="26"/>
                <w:szCs w:val="26"/>
              </w:rPr>
            </w:pPr>
            <w:r w:rsidRPr="00146FE0">
              <w:rPr>
                <w:sz w:val="26"/>
                <w:szCs w:val="26"/>
              </w:rPr>
              <w:t>ПТС для торгівлі кавою та кавовими напоями</w:t>
            </w:r>
          </w:p>
        </w:tc>
        <w:tc>
          <w:tcPr>
            <w:tcW w:w="1701"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510 847,78</w:t>
            </w:r>
          </w:p>
        </w:tc>
        <w:tc>
          <w:tcPr>
            <w:tcW w:w="2410"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310 084,51*</w:t>
            </w:r>
          </w:p>
        </w:tc>
        <w:tc>
          <w:tcPr>
            <w:tcW w:w="1431" w:type="dxa"/>
            <w:shd w:val="clear" w:color="auto" w:fill="auto"/>
            <w:vAlign w:val="center"/>
          </w:tcPr>
          <w:p w:rsidR="00FF43B9" w:rsidRPr="00146FE0" w:rsidRDefault="00FF43B9" w:rsidP="00815D3D">
            <w:pPr>
              <w:jc w:val="center"/>
              <w:rPr>
                <w:sz w:val="26"/>
                <w:szCs w:val="26"/>
              </w:rPr>
            </w:pPr>
            <w:r w:rsidRPr="00146FE0">
              <w:rPr>
                <w:sz w:val="26"/>
                <w:szCs w:val="26"/>
              </w:rPr>
              <w:t>596 632,77</w:t>
            </w:r>
          </w:p>
        </w:tc>
      </w:tr>
      <w:tr w:rsidR="00FF43B9" w:rsidRPr="00146FE0" w:rsidTr="00815D3D">
        <w:tc>
          <w:tcPr>
            <w:tcW w:w="675" w:type="dxa"/>
            <w:shd w:val="clear" w:color="auto" w:fill="auto"/>
            <w:vAlign w:val="center"/>
          </w:tcPr>
          <w:p w:rsidR="00FF43B9" w:rsidRPr="00146FE0" w:rsidRDefault="00FF43B9" w:rsidP="00815D3D">
            <w:pPr>
              <w:jc w:val="center"/>
              <w:rPr>
                <w:sz w:val="26"/>
                <w:szCs w:val="26"/>
              </w:rPr>
            </w:pPr>
            <w:r w:rsidRPr="00146FE0">
              <w:rPr>
                <w:sz w:val="26"/>
                <w:szCs w:val="26"/>
              </w:rPr>
              <w:t>2</w:t>
            </w:r>
          </w:p>
        </w:tc>
        <w:tc>
          <w:tcPr>
            <w:tcW w:w="3543" w:type="dxa"/>
            <w:shd w:val="clear" w:color="auto" w:fill="auto"/>
            <w:vAlign w:val="center"/>
          </w:tcPr>
          <w:p w:rsidR="00FF43B9" w:rsidRPr="00146FE0" w:rsidRDefault="00FF43B9" w:rsidP="00815D3D">
            <w:pPr>
              <w:jc w:val="center"/>
              <w:rPr>
                <w:sz w:val="26"/>
                <w:szCs w:val="26"/>
              </w:rPr>
            </w:pPr>
            <w:r w:rsidRPr="00146FE0">
              <w:rPr>
                <w:sz w:val="26"/>
                <w:szCs w:val="26"/>
              </w:rPr>
              <w:t>ПТС для торгівлі квасом та прохолоджуючими напоями</w:t>
            </w:r>
          </w:p>
        </w:tc>
        <w:tc>
          <w:tcPr>
            <w:tcW w:w="1701"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21 376,16</w:t>
            </w:r>
          </w:p>
        </w:tc>
        <w:tc>
          <w:tcPr>
            <w:tcW w:w="2410" w:type="dxa"/>
            <w:shd w:val="clear" w:color="auto" w:fill="auto"/>
            <w:vAlign w:val="center"/>
          </w:tcPr>
          <w:p w:rsidR="00FF43B9" w:rsidRPr="00146FE0" w:rsidRDefault="00FF43B9" w:rsidP="00815D3D">
            <w:pPr>
              <w:jc w:val="center"/>
              <w:rPr>
                <w:sz w:val="26"/>
                <w:szCs w:val="26"/>
              </w:rPr>
            </w:pPr>
            <w:r w:rsidRPr="00146FE0">
              <w:rPr>
                <w:sz w:val="26"/>
                <w:szCs w:val="26"/>
              </w:rPr>
              <w:t>12 688,07</w:t>
            </w:r>
          </w:p>
        </w:tc>
        <w:tc>
          <w:tcPr>
            <w:tcW w:w="1431" w:type="dxa"/>
            <w:shd w:val="clear" w:color="auto" w:fill="auto"/>
            <w:vAlign w:val="center"/>
          </w:tcPr>
          <w:p w:rsidR="00FF43B9" w:rsidRPr="00146FE0" w:rsidRDefault="00FF43B9" w:rsidP="00815D3D">
            <w:pPr>
              <w:jc w:val="center"/>
              <w:rPr>
                <w:sz w:val="26"/>
                <w:szCs w:val="26"/>
              </w:rPr>
            </w:pPr>
            <w:r w:rsidRPr="00146FE0">
              <w:rPr>
                <w:sz w:val="26"/>
                <w:szCs w:val="26"/>
              </w:rPr>
              <w:t>33 135,99</w:t>
            </w:r>
          </w:p>
        </w:tc>
      </w:tr>
      <w:tr w:rsidR="00FF43B9" w:rsidRPr="00146FE0" w:rsidTr="00815D3D">
        <w:tc>
          <w:tcPr>
            <w:tcW w:w="675" w:type="dxa"/>
            <w:shd w:val="clear" w:color="auto" w:fill="auto"/>
            <w:vAlign w:val="center"/>
          </w:tcPr>
          <w:p w:rsidR="00FF43B9" w:rsidRPr="00146FE0" w:rsidRDefault="00FF43B9" w:rsidP="00815D3D">
            <w:pPr>
              <w:jc w:val="center"/>
              <w:rPr>
                <w:sz w:val="26"/>
                <w:szCs w:val="26"/>
              </w:rPr>
            </w:pPr>
            <w:r w:rsidRPr="00146FE0">
              <w:rPr>
                <w:sz w:val="26"/>
                <w:szCs w:val="26"/>
              </w:rPr>
              <w:t>3</w:t>
            </w:r>
          </w:p>
        </w:tc>
        <w:tc>
          <w:tcPr>
            <w:tcW w:w="3543" w:type="dxa"/>
            <w:shd w:val="clear" w:color="auto" w:fill="auto"/>
            <w:vAlign w:val="center"/>
          </w:tcPr>
          <w:p w:rsidR="00FF43B9" w:rsidRPr="00146FE0" w:rsidRDefault="00FF43B9" w:rsidP="00815D3D">
            <w:pPr>
              <w:jc w:val="center"/>
              <w:rPr>
                <w:sz w:val="26"/>
                <w:szCs w:val="26"/>
              </w:rPr>
            </w:pPr>
            <w:r w:rsidRPr="00146FE0">
              <w:rPr>
                <w:sz w:val="26"/>
                <w:szCs w:val="26"/>
              </w:rPr>
              <w:t>ПТС для торгівлі морозивом</w:t>
            </w:r>
          </w:p>
        </w:tc>
        <w:tc>
          <w:tcPr>
            <w:tcW w:w="1701"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9 827,27</w:t>
            </w:r>
          </w:p>
        </w:tc>
        <w:tc>
          <w:tcPr>
            <w:tcW w:w="2410"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15 724,38**</w:t>
            </w:r>
          </w:p>
        </w:tc>
        <w:tc>
          <w:tcPr>
            <w:tcW w:w="1431" w:type="dxa"/>
            <w:shd w:val="clear" w:color="auto" w:fill="auto"/>
            <w:vAlign w:val="center"/>
          </w:tcPr>
          <w:p w:rsidR="00FF43B9" w:rsidRPr="00146FE0" w:rsidRDefault="00FF43B9" w:rsidP="00815D3D">
            <w:pPr>
              <w:jc w:val="center"/>
              <w:rPr>
                <w:sz w:val="26"/>
                <w:szCs w:val="26"/>
              </w:rPr>
            </w:pPr>
            <w:r w:rsidRPr="00146FE0">
              <w:rPr>
                <w:sz w:val="26"/>
                <w:szCs w:val="26"/>
              </w:rPr>
              <w:t>26 687,78</w:t>
            </w:r>
          </w:p>
        </w:tc>
      </w:tr>
      <w:tr w:rsidR="00FF43B9" w:rsidRPr="00146FE0" w:rsidTr="00815D3D">
        <w:tc>
          <w:tcPr>
            <w:tcW w:w="675" w:type="dxa"/>
            <w:shd w:val="clear" w:color="auto" w:fill="auto"/>
            <w:vAlign w:val="center"/>
          </w:tcPr>
          <w:p w:rsidR="00FF43B9" w:rsidRPr="00146FE0" w:rsidRDefault="00FF43B9" w:rsidP="00815D3D">
            <w:pPr>
              <w:jc w:val="center"/>
              <w:rPr>
                <w:sz w:val="26"/>
                <w:szCs w:val="26"/>
              </w:rPr>
            </w:pPr>
            <w:r w:rsidRPr="00146FE0">
              <w:rPr>
                <w:sz w:val="26"/>
                <w:szCs w:val="26"/>
              </w:rPr>
              <w:t>4</w:t>
            </w:r>
          </w:p>
        </w:tc>
        <w:tc>
          <w:tcPr>
            <w:tcW w:w="3543" w:type="dxa"/>
            <w:shd w:val="clear" w:color="auto" w:fill="auto"/>
            <w:vAlign w:val="center"/>
          </w:tcPr>
          <w:p w:rsidR="00FF43B9" w:rsidRPr="00146FE0" w:rsidRDefault="00FF43B9" w:rsidP="00815D3D">
            <w:pPr>
              <w:jc w:val="center"/>
              <w:rPr>
                <w:sz w:val="26"/>
                <w:szCs w:val="26"/>
              </w:rPr>
            </w:pPr>
            <w:r w:rsidRPr="00146FE0">
              <w:rPr>
                <w:sz w:val="26"/>
                <w:szCs w:val="26"/>
              </w:rPr>
              <w:t>ПТС для торгівлі баштанними культурами</w:t>
            </w:r>
          </w:p>
        </w:tc>
        <w:tc>
          <w:tcPr>
            <w:tcW w:w="1701"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157 663,40</w:t>
            </w:r>
          </w:p>
        </w:tc>
        <w:tc>
          <w:tcPr>
            <w:tcW w:w="2410"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150 944,23</w:t>
            </w:r>
          </w:p>
        </w:tc>
        <w:tc>
          <w:tcPr>
            <w:tcW w:w="1431" w:type="dxa"/>
            <w:shd w:val="clear" w:color="auto" w:fill="auto"/>
            <w:vAlign w:val="center"/>
          </w:tcPr>
          <w:p w:rsidR="00FF43B9" w:rsidRPr="00146FE0" w:rsidRDefault="00FF43B9" w:rsidP="00815D3D">
            <w:pPr>
              <w:jc w:val="center"/>
              <w:rPr>
                <w:sz w:val="26"/>
                <w:szCs w:val="26"/>
              </w:rPr>
            </w:pPr>
            <w:r w:rsidRPr="00146FE0">
              <w:rPr>
                <w:sz w:val="26"/>
                <w:szCs w:val="26"/>
              </w:rPr>
              <w:t>99 829,18</w:t>
            </w:r>
          </w:p>
        </w:tc>
      </w:tr>
      <w:tr w:rsidR="00FF43B9" w:rsidRPr="00146FE0" w:rsidTr="00815D3D">
        <w:tc>
          <w:tcPr>
            <w:tcW w:w="4218" w:type="dxa"/>
            <w:gridSpan w:val="2"/>
            <w:shd w:val="clear" w:color="auto" w:fill="auto"/>
            <w:vAlign w:val="center"/>
          </w:tcPr>
          <w:p w:rsidR="00FF43B9" w:rsidRPr="00146FE0" w:rsidRDefault="00FF43B9" w:rsidP="00815D3D">
            <w:pPr>
              <w:jc w:val="center"/>
              <w:rPr>
                <w:sz w:val="26"/>
                <w:szCs w:val="26"/>
              </w:rPr>
            </w:pPr>
            <w:r w:rsidRPr="00146FE0">
              <w:rPr>
                <w:sz w:val="26"/>
                <w:szCs w:val="26"/>
              </w:rPr>
              <w:t>Всього</w:t>
            </w:r>
          </w:p>
        </w:tc>
        <w:tc>
          <w:tcPr>
            <w:tcW w:w="1701"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699 714,61</w:t>
            </w:r>
          </w:p>
        </w:tc>
        <w:tc>
          <w:tcPr>
            <w:tcW w:w="2410" w:type="dxa"/>
            <w:shd w:val="clear" w:color="auto" w:fill="auto"/>
            <w:vAlign w:val="center"/>
          </w:tcPr>
          <w:p w:rsidR="00FF43B9" w:rsidRPr="00146FE0" w:rsidRDefault="00FF43B9" w:rsidP="00815D3D">
            <w:pPr>
              <w:jc w:val="center"/>
              <w:rPr>
                <w:color w:val="000000"/>
                <w:sz w:val="26"/>
                <w:szCs w:val="26"/>
              </w:rPr>
            </w:pPr>
            <w:r w:rsidRPr="00146FE0">
              <w:rPr>
                <w:color w:val="000000"/>
                <w:sz w:val="26"/>
                <w:szCs w:val="26"/>
              </w:rPr>
              <w:t>489 441,19 ***</w:t>
            </w:r>
          </w:p>
        </w:tc>
        <w:tc>
          <w:tcPr>
            <w:tcW w:w="1431" w:type="dxa"/>
            <w:shd w:val="clear" w:color="auto" w:fill="auto"/>
            <w:vAlign w:val="center"/>
          </w:tcPr>
          <w:p w:rsidR="00FF43B9" w:rsidRPr="00146FE0" w:rsidRDefault="00FF43B9" w:rsidP="00815D3D">
            <w:pPr>
              <w:jc w:val="center"/>
              <w:rPr>
                <w:sz w:val="26"/>
                <w:szCs w:val="26"/>
              </w:rPr>
            </w:pPr>
            <w:r w:rsidRPr="00146FE0">
              <w:rPr>
                <w:sz w:val="26"/>
                <w:szCs w:val="26"/>
              </w:rPr>
              <w:t>756 285,72</w:t>
            </w:r>
          </w:p>
        </w:tc>
      </w:tr>
    </w:tbl>
    <w:p w:rsidR="00FF43B9" w:rsidRDefault="00FF43B9" w:rsidP="00FF43B9">
      <w:pPr>
        <w:jc w:val="both"/>
        <w:rPr>
          <w:color w:val="000000"/>
        </w:rPr>
      </w:pPr>
      <w:r>
        <w:rPr>
          <w:sz w:val="27"/>
          <w:szCs w:val="27"/>
        </w:rPr>
        <w:t>*</w:t>
      </w:r>
      <w:r w:rsidRPr="009A270F">
        <w:rPr>
          <w:color w:val="000000"/>
        </w:rPr>
        <w:t>з них 58 203,89 грн. н</w:t>
      </w:r>
      <w:r>
        <w:rPr>
          <w:color w:val="000000"/>
        </w:rPr>
        <w:t>а виконання договорів 2016 року;</w:t>
      </w:r>
    </w:p>
    <w:p w:rsidR="00FF43B9" w:rsidRDefault="00FF43B9" w:rsidP="00FF43B9">
      <w:pPr>
        <w:jc w:val="both"/>
        <w:rPr>
          <w:color w:val="000000"/>
        </w:rPr>
      </w:pPr>
      <w:r>
        <w:rPr>
          <w:color w:val="000000"/>
        </w:rPr>
        <w:t xml:space="preserve">** </w:t>
      </w:r>
      <w:r w:rsidRPr="009A270F">
        <w:rPr>
          <w:color w:val="000000"/>
        </w:rPr>
        <w:t>з них 3000,00 грн. н</w:t>
      </w:r>
      <w:r>
        <w:rPr>
          <w:color w:val="000000"/>
        </w:rPr>
        <w:t>а виконання договорів 2016 року;</w:t>
      </w:r>
    </w:p>
    <w:p w:rsidR="00FF43B9" w:rsidRDefault="00FF43B9" w:rsidP="00FF43B9">
      <w:pPr>
        <w:jc w:val="both"/>
        <w:rPr>
          <w:sz w:val="27"/>
          <w:szCs w:val="27"/>
        </w:rPr>
      </w:pPr>
      <w:r>
        <w:rPr>
          <w:color w:val="000000"/>
        </w:rPr>
        <w:t xml:space="preserve">*** </w:t>
      </w:r>
      <w:r w:rsidRPr="009A270F">
        <w:rPr>
          <w:color w:val="000000"/>
        </w:rPr>
        <w:t>з них 61 203,89 грн. на виконання договорів 2016 року</w:t>
      </w:r>
      <w:r>
        <w:rPr>
          <w:color w:val="000000"/>
        </w:rPr>
        <w:t>.</w:t>
      </w:r>
    </w:p>
    <w:p w:rsidR="00FF43B9" w:rsidRPr="00370FC5" w:rsidRDefault="00FF43B9" w:rsidP="00FF43B9">
      <w:pPr>
        <w:ind w:firstLine="540"/>
        <w:jc w:val="both"/>
        <w:rPr>
          <w:color w:val="000000"/>
          <w:sz w:val="27"/>
          <w:szCs w:val="27"/>
        </w:rPr>
      </w:pPr>
      <w:r w:rsidRPr="00370FC5">
        <w:rPr>
          <w:sz w:val="27"/>
          <w:szCs w:val="27"/>
        </w:rPr>
        <w:t>Отже, загальна сума залучених коштів замовників до фонду соціально-економічного розвитку м.Чернівців у якості плати за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w:t>
      </w:r>
      <w:r>
        <w:rPr>
          <w:sz w:val="27"/>
          <w:szCs w:val="27"/>
        </w:rPr>
        <w:t>, в тому числі, і за результатами конкурсу,</w:t>
      </w:r>
      <w:r w:rsidRPr="00370FC5">
        <w:rPr>
          <w:sz w:val="27"/>
          <w:szCs w:val="27"/>
        </w:rPr>
        <w:t xml:space="preserve"> на території міста Чернівців за </w:t>
      </w:r>
      <w:r>
        <w:rPr>
          <w:sz w:val="27"/>
          <w:szCs w:val="27"/>
        </w:rPr>
        <w:t xml:space="preserve">                  </w:t>
      </w:r>
      <w:r w:rsidRPr="00370FC5">
        <w:rPr>
          <w:sz w:val="27"/>
          <w:szCs w:val="27"/>
        </w:rPr>
        <w:t>10 місяців 2018 року становить –</w:t>
      </w:r>
      <w:r>
        <w:rPr>
          <w:sz w:val="27"/>
          <w:szCs w:val="27"/>
        </w:rPr>
        <w:t xml:space="preserve"> </w:t>
      </w:r>
      <w:r>
        <w:rPr>
          <w:b/>
          <w:sz w:val="27"/>
          <w:szCs w:val="27"/>
        </w:rPr>
        <w:t xml:space="preserve">1 595 558,64 </w:t>
      </w:r>
      <w:r w:rsidRPr="00370FC5">
        <w:rPr>
          <w:b/>
          <w:sz w:val="27"/>
          <w:szCs w:val="27"/>
        </w:rPr>
        <w:t xml:space="preserve"> грн.</w:t>
      </w:r>
      <w:r>
        <w:rPr>
          <w:b/>
          <w:sz w:val="27"/>
          <w:szCs w:val="27"/>
        </w:rPr>
        <w:t xml:space="preserve"> </w:t>
      </w:r>
      <w:r w:rsidRPr="006A1D06">
        <w:rPr>
          <w:sz w:val="27"/>
          <w:szCs w:val="27"/>
        </w:rPr>
        <w:t>(</w:t>
      </w:r>
      <w:r>
        <w:rPr>
          <w:sz w:val="27"/>
          <w:szCs w:val="27"/>
        </w:rPr>
        <w:t>з них</w:t>
      </w:r>
      <w:r w:rsidRPr="006A1D06">
        <w:rPr>
          <w:sz w:val="27"/>
          <w:szCs w:val="27"/>
        </w:rPr>
        <w:t xml:space="preserve"> 38 311,77 грн. на виконання договорів 20</w:t>
      </w:r>
      <w:r>
        <w:rPr>
          <w:sz w:val="27"/>
          <w:szCs w:val="27"/>
        </w:rPr>
        <w:t>17</w:t>
      </w:r>
      <w:r w:rsidRPr="006A1D06">
        <w:rPr>
          <w:sz w:val="27"/>
          <w:szCs w:val="27"/>
        </w:rPr>
        <w:t xml:space="preserve"> року)</w:t>
      </w:r>
      <w:r w:rsidRPr="00370FC5">
        <w:rPr>
          <w:sz w:val="27"/>
          <w:szCs w:val="27"/>
        </w:rPr>
        <w:t>, за 10 місяців 2017 року –</w:t>
      </w:r>
      <w:r>
        <w:rPr>
          <w:sz w:val="27"/>
          <w:szCs w:val="27"/>
        </w:rPr>
        <w:t xml:space="preserve"> </w:t>
      </w:r>
      <w:r>
        <w:rPr>
          <w:b/>
          <w:sz w:val="27"/>
          <w:szCs w:val="27"/>
        </w:rPr>
        <w:t>1 253 434,09</w:t>
      </w:r>
      <w:r w:rsidRPr="00370FC5">
        <w:rPr>
          <w:b/>
          <w:sz w:val="27"/>
          <w:szCs w:val="27"/>
        </w:rPr>
        <w:t xml:space="preserve"> грн.</w:t>
      </w:r>
      <w:r>
        <w:rPr>
          <w:b/>
          <w:sz w:val="27"/>
          <w:szCs w:val="27"/>
        </w:rPr>
        <w:t xml:space="preserve">               </w:t>
      </w:r>
      <w:r w:rsidRPr="006A1D06">
        <w:rPr>
          <w:sz w:val="27"/>
          <w:szCs w:val="27"/>
        </w:rPr>
        <w:t>(</w:t>
      </w:r>
      <w:r>
        <w:rPr>
          <w:sz w:val="27"/>
          <w:szCs w:val="27"/>
        </w:rPr>
        <w:t>з них</w:t>
      </w:r>
      <w:r w:rsidRPr="006A1D06">
        <w:rPr>
          <w:sz w:val="27"/>
          <w:szCs w:val="27"/>
        </w:rPr>
        <w:t xml:space="preserve"> </w:t>
      </w:r>
      <w:r>
        <w:rPr>
          <w:sz w:val="27"/>
          <w:szCs w:val="27"/>
        </w:rPr>
        <w:t>115 455,34</w:t>
      </w:r>
      <w:r w:rsidRPr="006A1D06">
        <w:rPr>
          <w:sz w:val="27"/>
          <w:szCs w:val="27"/>
        </w:rPr>
        <w:t xml:space="preserve"> грн. на виконання договорів 2016 року)</w:t>
      </w:r>
      <w:r w:rsidRPr="00370FC5">
        <w:rPr>
          <w:sz w:val="27"/>
          <w:szCs w:val="27"/>
        </w:rPr>
        <w:t xml:space="preserve">, за аналогічний період 2016 року – </w:t>
      </w:r>
      <w:r w:rsidRPr="00370FC5">
        <w:rPr>
          <w:b/>
          <w:color w:val="000000"/>
          <w:sz w:val="27"/>
          <w:szCs w:val="27"/>
        </w:rPr>
        <w:t>1 271 584,74 грн</w:t>
      </w:r>
      <w:r w:rsidRPr="00370FC5">
        <w:rPr>
          <w:color w:val="000000"/>
          <w:sz w:val="27"/>
          <w:szCs w:val="27"/>
        </w:rPr>
        <w:t>. У відсотковому співвідношенні у 2018 році порівняно з 2017 р</w:t>
      </w:r>
      <w:r>
        <w:rPr>
          <w:color w:val="000000"/>
          <w:sz w:val="27"/>
          <w:szCs w:val="27"/>
        </w:rPr>
        <w:t>оком надходження зросли на 27,2</w:t>
      </w:r>
      <w:r w:rsidRPr="00370FC5">
        <w:rPr>
          <w:color w:val="000000"/>
          <w:sz w:val="27"/>
          <w:szCs w:val="27"/>
        </w:rPr>
        <w:t>%, а у 2017 році порівняно з 2016 роком спостерігався незначний</w:t>
      </w:r>
      <w:r>
        <w:rPr>
          <w:color w:val="000000"/>
          <w:sz w:val="27"/>
          <w:szCs w:val="27"/>
        </w:rPr>
        <w:t xml:space="preserve"> спад обсягів надходжень на 1,43</w:t>
      </w:r>
      <w:r w:rsidRPr="00370FC5">
        <w:rPr>
          <w:color w:val="000000"/>
          <w:sz w:val="27"/>
          <w:szCs w:val="27"/>
        </w:rPr>
        <w:t>%.</w:t>
      </w:r>
    </w:p>
    <w:p w:rsidR="00FF43B9" w:rsidRPr="00146FE0" w:rsidRDefault="00FF43B9" w:rsidP="00FF43B9">
      <w:pPr>
        <w:ind w:firstLine="540"/>
        <w:jc w:val="both"/>
        <w:rPr>
          <w:color w:val="000000"/>
          <w:sz w:val="16"/>
          <w:szCs w:val="16"/>
        </w:rPr>
      </w:pPr>
    </w:p>
    <w:p w:rsidR="00FF43B9" w:rsidRPr="008B1CD8" w:rsidRDefault="00FF43B9" w:rsidP="00FF43B9">
      <w:pPr>
        <w:jc w:val="center"/>
        <w:rPr>
          <w:b/>
          <w:color w:val="000000"/>
          <w:sz w:val="26"/>
          <w:szCs w:val="26"/>
        </w:rPr>
      </w:pPr>
      <w:r w:rsidRPr="00C341B1">
        <w:rPr>
          <w:b/>
          <w:sz w:val="26"/>
          <w:szCs w:val="26"/>
        </w:rPr>
        <w:lastRenderedPageBreak/>
        <w:t xml:space="preserve">Загальна сума залучених коштів замовників </w:t>
      </w:r>
      <w:r>
        <w:rPr>
          <w:b/>
          <w:sz w:val="26"/>
          <w:szCs w:val="26"/>
        </w:rPr>
        <w:t>у якості плати</w:t>
      </w:r>
      <w:r w:rsidRPr="00CA64B9">
        <w:rPr>
          <w:b/>
          <w:sz w:val="26"/>
          <w:szCs w:val="26"/>
        </w:rPr>
        <w:t>,</w:t>
      </w:r>
      <w:r>
        <w:rPr>
          <w:b/>
          <w:sz w:val="26"/>
          <w:szCs w:val="26"/>
        </w:rPr>
        <w:t xml:space="preserve"> при</w:t>
      </w:r>
      <w:r w:rsidRPr="00C341B1">
        <w:rPr>
          <w:b/>
          <w:sz w:val="26"/>
          <w:szCs w:val="26"/>
        </w:rPr>
        <w:t xml:space="preserve"> </w:t>
      </w:r>
      <w:r>
        <w:rPr>
          <w:b/>
          <w:sz w:val="26"/>
          <w:szCs w:val="26"/>
        </w:rPr>
        <w:t>розміщенні</w:t>
      </w:r>
      <w:r w:rsidRPr="00C341B1">
        <w:rPr>
          <w:b/>
          <w:sz w:val="26"/>
          <w:szCs w:val="26"/>
        </w:rPr>
        <w:t xml:space="preserve"> ЛТМ і ПТС для провадження підприємницької діяльності на території м.Чернівців за 10 місяців </w:t>
      </w:r>
      <w:r>
        <w:rPr>
          <w:b/>
          <w:sz w:val="26"/>
          <w:szCs w:val="26"/>
        </w:rPr>
        <w:t>2016-2018р.р.</w:t>
      </w:r>
      <w:r w:rsidRPr="008B1CD8">
        <w:rPr>
          <w:b/>
          <w:sz w:val="26"/>
          <w:szCs w:val="26"/>
        </w:rPr>
        <w:t>, тис.грн.</w:t>
      </w:r>
    </w:p>
    <w:p w:rsidR="00FF43B9" w:rsidRDefault="008449D4" w:rsidP="00FF43B9">
      <w:pPr>
        <w:ind w:firstLine="540"/>
        <w:jc w:val="both"/>
        <w:rPr>
          <w:sz w:val="28"/>
          <w:szCs w:val="28"/>
        </w:rPr>
      </w:pPr>
      <w:r>
        <w:rPr>
          <w:noProof/>
          <w:sz w:val="28"/>
          <w:szCs w:val="28"/>
        </w:rPr>
        <w:drawing>
          <wp:inline distT="0" distB="0" distL="0" distR="0">
            <wp:extent cx="5591175" cy="2438400"/>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F43B9" w:rsidRPr="00AD40FD" w:rsidRDefault="00FF43B9" w:rsidP="00FF43B9">
      <w:pPr>
        <w:ind w:firstLine="540"/>
        <w:jc w:val="both"/>
        <w:rPr>
          <w:sz w:val="27"/>
          <w:szCs w:val="27"/>
        </w:rPr>
      </w:pPr>
      <w:r w:rsidRPr="00AD40FD">
        <w:rPr>
          <w:sz w:val="27"/>
          <w:szCs w:val="27"/>
        </w:rPr>
        <w:t xml:space="preserve">Разом з тим, у зв’язку з існуванням ряду недоліків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 затвердженого рішенням виконавчого комітету Чернівецької міської ради від 29.03.2016р. №186/6, мали місце різні проблемні ситуації, для прикладу, завищення учасниками конкурсів ставок вартості і в подальшому, через неплатоспроможність або ряд інших підстав, неукладання переможцями договорів у визначений термін, що призводило до втрат бюджету (у зв’язку зі зменшенням терміну користування елементами благоустрою). З метою усунення недоліків під час проведення конкурсів на розміщення пересувних тимчасових споруд, розвитку здорової конкуренції та планового наповнення міського бюджету, управлінням містобудування та архітектури департаменту містобудівного комплексу та земельних відносин міської ради спільно з відділом контролю платежів та аналізу виконання договорів оренди землі при департаменті був розроблений проект рішення  виконавчого комітету Чернівецької міської ради «Про внесення змін та доповнень до рішення виконавчого комітету міської ради від 29.03.2016р. №186/6 «Про затвердження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 </w:t>
      </w:r>
    </w:p>
    <w:p w:rsidR="00FF43B9" w:rsidRDefault="00FF43B9" w:rsidP="00FF43B9">
      <w:pPr>
        <w:pStyle w:val="ab"/>
        <w:spacing w:before="0" w:beforeAutospacing="0" w:after="0" w:afterAutospacing="0"/>
        <w:ind w:firstLine="540"/>
        <w:jc w:val="both"/>
        <w:rPr>
          <w:sz w:val="27"/>
          <w:szCs w:val="27"/>
          <w:lang w:val="uk-UA"/>
        </w:rPr>
      </w:pPr>
      <w:r w:rsidRPr="00AD40FD">
        <w:rPr>
          <w:sz w:val="27"/>
          <w:szCs w:val="27"/>
          <w:lang w:val="uk-UA"/>
        </w:rPr>
        <w:t>Даним</w:t>
      </w:r>
      <w:r w:rsidRPr="00AD40FD">
        <w:rPr>
          <w:sz w:val="27"/>
          <w:szCs w:val="27"/>
        </w:rPr>
        <w:t xml:space="preserve"> проект</w:t>
      </w:r>
      <w:r w:rsidRPr="00AD40FD">
        <w:rPr>
          <w:sz w:val="27"/>
          <w:szCs w:val="27"/>
          <w:lang w:val="uk-UA"/>
        </w:rPr>
        <w:t xml:space="preserve">ом пропонувалось додатково врегулювати питання гарантій сплати коштів учасників конкурсу до бюджету міста. Механізм, що пропонувався до застосування в проекті регуляторного акту, передбачав, що переможець конкурсу, який відмовився від укладання договору, не допускається до участі у повторному конкурсі. Також, змінами до Положення передбачено внесення гарантійних платежів за  користування окремими елементами благоустрою. </w:t>
      </w:r>
    </w:p>
    <w:p w:rsidR="00FF43B9" w:rsidRPr="00AD40FD" w:rsidRDefault="00FF43B9" w:rsidP="00FF43B9">
      <w:pPr>
        <w:pStyle w:val="ab"/>
        <w:spacing w:before="0" w:beforeAutospacing="0" w:after="0" w:afterAutospacing="0"/>
        <w:ind w:firstLine="540"/>
        <w:jc w:val="both"/>
        <w:rPr>
          <w:sz w:val="27"/>
          <w:szCs w:val="27"/>
          <w:lang w:val="uk-UA"/>
        </w:rPr>
      </w:pPr>
      <w:r w:rsidRPr="00AD40FD">
        <w:rPr>
          <w:sz w:val="27"/>
          <w:szCs w:val="27"/>
          <w:lang w:val="uk-UA"/>
        </w:rPr>
        <w:t>Окрім того передбачено:</w:t>
      </w:r>
    </w:p>
    <w:p w:rsidR="00FF43B9" w:rsidRPr="00AD40FD" w:rsidRDefault="00FF43B9" w:rsidP="00FF43B9">
      <w:pPr>
        <w:pStyle w:val="ab"/>
        <w:numPr>
          <w:ilvl w:val="0"/>
          <w:numId w:val="7"/>
        </w:numPr>
        <w:tabs>
          <w:tab w:val="left" w:pos="284"/>
        </w:tabs>
        <w:spacing w:before="0" w:beforeAutospacing="0" w:after="0" w:afterAutospacing="0"/>
        <w:ind w:left="0" w:firstLine="0"/>
        <w:jc w:val="both"/>
        <w:rPr>
          <w:sz w:val="27"/>
          <w:szCs w:val="27"/>
          <w:lang w:val="uk-UA"/>
        </w:rPr>
      </w:pPr>
      <w:r w:rsidRPr="00AD40FD">
        <w:rPr>
          <w:sz w:val="27"/>
          <w:szCs w:val="27"/>
          <w:lang w:val="uk-UA"/>
        </w:rPr>
        <w:t>можливість формування об’єктів конкурсу, визначених рішенням виконавчого комітету, у лоти;</w:t>
      </w:r>
    </w:p>
    <w:p w:rsidR="00FF43B9" w:rsidRPr="00AD40FD" w:rsidRDefault="00FF43B9" w:rsidP="00FF43B9">
      <w:pPr>
        <w:pStyle w:val="ab"/>
        <w:numPr>
          <w:ilvl w:val="0"/>
          <w:numId w:val="7"/>
        </w:numPr>
        <w:tabs>
          <w:tab w:val="left" w:pos="284"/>
        </w:tabs>
        <w:spacing w:before="0" w:beforeAutospacing="0" w:after="0" w:afterAutospacing="0"/>
        <w:ind w:left="0" w:firstLine="0"/>
        <w:jc w:val="both"/>
        <w:rPr>
          <w:sz w:val="27"/>
          <w:szCs w:val="27"/>
          <w:lang w:val="uk-UA"/>
        </w:rPr>
      </w:pPr>
      <w:r w:rsidRPr="00AD40FD">
        <w:rPr>
          <w:sz w:val="27"/>
          <w:szCs w:val="27"/>
          <w:lang w:val="uk-UA"/>
        </w:rPr>
        <w:lastRenderedPageBreak/>
        <w:t xml:space="preserve">можливість визначення кроку торгів учасниками конкурсу; </w:t>
      </w:r>
    </w:p>
    <w:p w:rsidR="00FF43B9" w:rsidRPr="00AD40FD" w:rsidRDefault="00FF43B9" w:rsidP="00FF43B9">
      <w:pPr>
        <w:pStyle w:val="ab"/>
        <w:numPr>
          <w:ilvl w:val="0"/>
          <w:numId w:val="7"/>
        </w:numPr>
        <w:tabs>
          <w:tab w:val="left" w:pos="284"/>
        </w:tabs>
        <w:ind w:left="0" w:firstLine="0"/>
        <w:jc w:val="both"/>
        <w:rPr>
          <w:sz w:val="27"/>
          <w:szCs w:val="27"/>
          <w:lang w:val="uk-UA"/>
        </w:rPr>
      </w:pPr>
      <w:r w:rsidRPr="00AD40FD">
        <w:rPr>
          <w:sz w:val="27"/>
          <w:szCs w:val="27"/>
          <w:lang w:val="uk-UA"/>
        </w:rPr>
        <w:t xml:space="preserve">сума початкового внеску визначається як добуток площі елемента благоустрою (лота), періоду користування, що зазначаються  в оголошенні конкурсу, та встановленої середньої базової ставки за право тимчасового користування </w:t>
      </w:r>
      <w:smartTag w:uri="urn:schemas-microsoft-com:office:smarttags" w:element="metricconverter">
        <w:smartTagPr>
          <w:attr w:name="ProductID" w:val="1 м2"/>
        </w:smartTagPr>
        <w:r w:rsidRPr="00AD40FD">
          <w:rPr>
            <w:sz w:val="27"/>
            <w:szCs w:val="27"/>
            <w:lang w:val="uk-UA"/>
          </w:rPr>
          <w:t>1 м</w:t>
        </w:r>
        <w:r w:rsidRPr="00AD40FD">
          <w:rPr>
            <w:sz w:val="27"/>
            <w:szCs w:val="27"/>
            <w:vertAlign w:val="superscript"/>
            <w:lang w:val="uk-UA"/>
          </w:rPr>
          <w:t>2</w:t>
        </w:r>
      </w:smartTag>
      <w:r w:rsidRPr="00AD40FD">
        <w:rPr>
          <w:sz w:val="27"/>
          <w:szCs w:val="27"/>
          <w:lang w:val="uk-UA"/>
        </w:rPr>
        <w:t xml:space="preserve"> елемента благоустрою комунальної власності у відповідній зоні, з урахуванням індексів інфляції;</w:t>
      </w:r>
    </w:p>
    <w:p w:rsidR="00FF43B9" w:rsidRPr="00AD40FD" w:rsidRDefault="00FF43B9" w:rsidP="00FF43B9">
      <w:pPr>
        <w:pStyle w:val="ab"/>
        <w:numPr>
          <w:ilvl w:val="0"/>
          <w:numId w:val="7"/>
        </w:numPr>
        <w:tabs>
          <w:tab w:val="left" w:pos="284"/>
        </w:tabs>
        <w:spacing w:before="0" w:beforeAutospacing="0" w:after="0" w:afterAutospacing="0"/>
        <w:ind w:left="0" w:firstLine="0"/>
        <w:jc w:val="both"/>
        <w:rPr>
          <w:sz w:val="27"/>
          <w:szCs w:val="27"/>
          <w:lang w:val="uk-UA"/>
        </w:rPr>
      </w:pPr>
      <w:r w:rsidRPr="00AD40FD">
        <w:rPr>
          <w:sz w:val="27"/>
          <w:szCs w:val="27"/>
          <w:lang w:val="uk-UA"/>
        </w:rPr>
        <w:t xml:space="preserve">перший крок торгів визначається організатором конкурсу, але не менше ніж </w:t>
      </w:r>
      <w:r>
        <w:rPr>
          <w:sz w:val="27"/>
          <w:szCs w:val="27"/>
          <w:lang w:val="uk-UA"/>
        </w:rPr>
        <w:t xml:space="preserve">             </w:t>
      </w:r>
      <w:r w:rsidRPr="00AD40FD">
        <w:rPr>
          <w:sz w:val="27"/>
          <w:szCs w:val="27"/>
          <w:lang w:val="uk-UA"/>
        </w:rPr>
        <w:t xml:space="preserve">10 відсотків від суми початкового внеску, наступні – в розмірі не менше ніж </w:t>
      </w:r>
      <w:r>
        <w:rPr>
          <w:sz w:val="27"/>
          <w:szCs w:val="27"/>
          <w:lang w:val="uk-UA"/>
        </w:rPr>
        <w:t xml:space="preserve">                  </w:t>
      </w:r>
      <w:r w:rsidRPr="00AD40FD">
        <w:rPr>
          <w:sz w:val="27"/>
          <w:szCs w:val="27"/>
          <w:lang w:val="uk-UA"/>
        </w:rPr>
        <w:t>10 відсотків від попередньо запропонованої ціни.</w:t>
      </w:r>
    </w:p>
    <w:p w:rsidR="00FF43B9" w:rsidRPr="00AD40FD" w:rsidRDefault="00FF43B9" w:rsidP="00FF43B9">
      <w:pPr>
        <w:pStyle w:val="ab"/>
        <w:spacing w:before="0" w:beforeAutospacing="0" w:after="0" w:afterAutospacing="0"/>
        <w:ind w:firstLine="540"/>
        <w:jc w:val="both"/>
        <w:rPr>
          <w:sz w:val="27"/>
          <w:szCs w:val="27"/>
          <w:lang w:val="uk-UA"/>
        </w:rPr>
      </w:pPr>
      <w:r w:rsidRPr="00AD40FD">
        <w:rPr>
          <w:sz w:val="27"/>
          <w:szCs w:val="27"/>
          <w:lang w:val="uk-UA"/>
        </w:rPr>
        <w:t>Однак, у листопаді 2018 року запропонований проект рішення виконавчим комітетом Чернівецької міської ради не прийнятий.</w:t>
      </w:r>
    </w:p>
    <w:p w:rsidR="00FF43B9" w:rsidRPr="00FF43B9" w:rsidRDefault="00FF43B9" w:rsidP="00FF43B9">
      <w:pPr>
        <w:ind w:firstLine="540"/>
        <w:jc w:val="both"/>
        <w:rPr>
          <w:sz w:val="27"/>
          <w:szCs w:val="27"/>
          <w:lang w:val="uk-UA"/>
        </w:rPr>
      </w:pPr>
      <w:r w:rsidRPr="00FF43B9">
        <w:rPr>
          <w:sz w:val="27"/>
          <w:szCs w:val="27"/>
          <w:lang w:val="uk-UA"/>
        </w:rPr>
        <w:t xml:space="preserve">З метою забезпечення безперебійності процесу залучення коштів та запобіганню явищам нанесення втрат місцевому бюджету, відділом контролю платежів та аналізу виконання договорів оренди землі при департаменті містобудівного комплексу та земельних відносин Чернівецької міської ради здійснюється превентивна та претензійна робота по відношенню до замовників в частині спонукання до своєчасності та повноти сплати внесків за користування елементами благоустрою. </w:t>
      </w:r>
    </w:p>
    <w:p w:rsidR="00FF43B9" w:rsidRPr="00AD40FD" w:rsidRDefault="00FF43B9" w:rsidP="00FF43B9">
      <w:pPr>
        <w:ind w:firstLine="540"/>
        <w:jc w:val="both"/>
        <w:rPr>
          <w:sz w:val="27"/>
          <w:szCs w:val="27"/>
        </w:rPr>
      </w:pPr>
      <w:r w:rsidRPr="00E01EB5">
        <w:rPr>
          <w:sz w:val="27"/>
          <w:szCs w:val="27"/>
        </w:rPr>
        <w:t>Проте, є ряд замовників, які через неналежне виконання умов договорів на право тимчасового користування окремими елементами благоустрою комунальної власності, спричинили втрати бюджету. Сума коштів, яку недоотримав бюджет міста Чернівців у 2017 році складає 105</w:t>
      </w:r>
      <w:r w:rsidRPr="00AD40FD">
        <w:rPr>
          <w:sz w:val="27"/>
          <w:szCs w:val="27"/>
        </w:rPr>
        <w:t> </w:t>
      </w:r>
      <w:r w:rsidRPr="00E01EB5">
        <w:rPr>
          <w:sz w:val="27"/>
          <w:szCs w:val="27"/>
        </w:rPr>
        <w:t xml:space="preserve">491,65 грн. </w:t>
      </w:r>
      <w:r w:rsidRPr="00AD40FD">
        <w:rPr>
          <w:sz w:val="27"/>
          <w:szCs w:val="27"/>
        </w:rPr>
        <w:t>(заборгованість за договором на право тимчасового користування окремими елементами благоустрою при розміщенні причіпу для торгівлі баштанними культурами), у 2018 році –</w:t>
      </w:r>
      <w:r>
        <w:rPr>
          <w:sz w:val="27"/>
          <w:szCs w:val="27"/>
        </w:rPr>
        <w:t xml:space="preserve"> </w:t>
      </w:r>
      <w:r w:rsidRPr="00AD40FD">
        <w:rPr>
          <w:sz w:val="27"/>
          <w:szCs w:val="27"/>
        </w:rPr>
        <w:t>25 259,81 грн. (заборгованість за договором на право тимчасового користування окремими елементами благоустрою, при розміщенні літнього торгового майданчика для провадження підприємницької діяльності за адресою вул.О.Кобилянської,44). Спільно з юридичним управлінням Чернівецької міської ради проведена робота по спонуканню до виконання недобросовісними замовниками зобов’язань за договорами у судовому порядку.</w:t>
      </w:r>
    </w:p>
    <w:p w:rsidR="00FF43B9" w:rsidRPr="00AD40FD" w:rsidRDefault="00FF43B9" w:rsidP="00FF43B9">
      <w:pPr>
        <w:ind w:firstLine="540"/>
        <w:jc w:val="both"/>
        <w:rPr>
          <w:sz w:val="27"/>
          <w:szCs w:val="27"/>
        </w:rPr>
      </w:pPr>
      <w:r w:rsidRPr="00AD40FD">
        <w:rPr>
          <w:sz w:val="27"/>
          <w:szCs w:val="27"/>
        </w:rPr>
        <w:t xml:space="preserve">Департаментом містобудівного комплексу та земельних відносин Чернівецької міської ради продовжується системна робота по залученню коштів змовників в якості плати за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м.Чернівців.    </w:t>
      </w:r>
    </w:p>
    <w:p w:rsidR="00FF43B9" w:rsidRDefault="00FF43B9" w:rsidP="00FF43B9">
      <w:pPr>
        <w:ind w:firstLine="540"/>
        <w:jc w:val="both"/>
        <w:rPr>
          <w:sz w:val="27"/>
          <w:szCs w:val="27"/>
        </w:rPr>
      </w:pPr>
      <w:r w:rsidRPr="00AD40FD">
        <w:rPr>
          <w:sz w:val="27"/>
          <w:szCs w:val="27"/>
        </w:rPr>
        <w:t xml:space="preserve">   </w:t>
      </w:r>
    </w:p>
    <w:p w:rsidR="00FF43B9" w:rsidRPr="00AD40FD" w:rsidRDefault="00FF43B9" w:rsidP="00FF43B9">
      <w:pPr>
        <w:ind w:firstLine="540"/>
        <w:jc w:val="both"/>
        <w:rPr>
          <w:sz w:val="27"/>
          <w:szCs w:val="27"/>
        </w:rPr>
      </w:pPr>
    </w:p>
    <w:p w:rsidR="00FF43B9" w:rsidRPr="00AD40FD" w:rsidRDefault="00FF43B9" w:rsidP="00FF43B9">
      <w:pPr>
        <w:ind w:firstLine="540"/>
        <w:jc w:val="both"/>
        <w:rPr>
          <w:sz w:val="27"/>
          <w:szCs w:val="27"/>
        </w:rPr>
      </w:pPr>
    </w:p>
    <w:p w:rsidR="00FF43B9" w:rsidRPr="00AD40FD" w:rsidRDefault="00FF43B9" w:rsidP="00FF43B9">
      <w:pPr>
        <w:jc w:val="both"/>
        <w:rPr>
          <w:b/>
          <w:sz w:val="27"/>
          <w:szCs w:val="27"/>
        </w:rPr>
      </w:pPr>
      <w:r w:rsidRPr="00AD40FD">
        <w:rPr>
          <w:b/>
          <w:sz w:val="27"/>
          <w:szCs w:val="27"/>
        </w:rPr>
        <w:t xml:space="preserve">Начальник відділу контролю платежів </w:t>
      </w:r>
    </w:p>
    <w:p w:rsidR="00FF43B9" w:rsidRPr="00AD40FD" w:rsidRDefault="00FF43B9" w:rsidP="00FF43B9">
      <w:pPr>
        <w:jc w:val="both"/>
        <w:rPr>
          <w:b/>
          <w:sz w:val="27"/>
          <w:szCs w:val="27"/>
        </w:rPr>
      </w:pPr>
      <w:r w:rsidRPr="00AD40FD">
        <w:rPr>
          <w:b/>
          <w:sz w:val="27"/>
          <w:szCs w:val="27"/>
        </w:rPr>
        <w:t xml:space="preserve">та аналізу виконання договорів </w:t>
      </w:r>
    </w:p>
    <w:p w:rsidR="00FF43B9" w:rsidRPr="00AD40FD" w:rsidRDefault="00FF43B9" w:rsidP="00FF43B9">
      <w:pPr>
        <w:jc w:val="both"/>
        <w:rPr>
          <w:b/>
          <w:sz w:val="27"/>
          <w:szCs w:val="27"/>
        </w:rPr>
      </w:pPr>
      <w:r w:rsidRPr="00AD40FD">
        <w:rPr>
          <w:b/>
          <w:sz w:val="27"/>
          <w:szCs w:val="27"/>
        </w:rPr>
        <w:t>оренди землі при департаменті</w:t>
      </w:r>
    </w:p>
    <w:p w:rsidR="00FF43B9" w:rsidRPr="00AD40FD" w:rsidRDefault="00FF43B9" w:rsidP="00FF43B9">
      <w:pPr>
        <w:jc w:val="both"/>
        <w:rPr>
          <w:b/>
          <w:sz w:val="27"/>
          <w:szCs w:val="27"/>
        </w:rPr>
      </w:pPr>
      <w:r w:rsidRPr="00AD40FD">
        <w:rPr>
          <w:b/>
          <w:sz w:val="27"/>
          <w:szCs w:val="27"/>
        </w:rPr>
        <w:t xml:space="preserve">містобудівного комплексу та </w:t>
      </w:r>
    </w:p>
    <w:p w:rsidR="00FF43B9" w:rsidRPr="00DA05E0" w:rsidRDefault="00FF43B9" w:rsidP="00FF43B9">
      <w:pPr>
        <w:jc w:val="both"/>
      </w:pPr>
      <w:r w:rsidRPr="00AD40FD">
        <w:rPr>
          <w:b/>
          <w:sz w:val="27"/>
          <w:szCs w:val="27"/>
        </w:rPr>
        <w:t>земельних відносин міської ради</w:t>
      </w:r>
      <w:r w:rsidRPr="00AD40FD">
        <w:rPr>
          <w:b/>
          <w:sz w:val="27"/>
          <w:szCs w:val="27"/>
        </w:rPr>
        <w:tab/>
      </w:r>
      <w:r w:rsidRPr="00AD40FD">
        <w:rPr>
          <w:b/>
          <w:sz w:val="27"/>
          <w:szCs w:val="27"/>
        </w:rPr>
        <w:tab/>
      </w:r>
      <w:r w:rsidRPr="00AD40FD">
        <w:rPr>
          <w:b/>
          <w:sz w:val="27"/>
          <w:szCs w:val="27"/>
        </w:rPr>
        <w:tab/>
      </w:r>
      <w:r w:rsidRPr="00AD40FD">
        <w:rPr>
          <w:b/>
          <w:sz w:val="27"/>
          <w:szCs w:val="27"/>
        </w:rPr>
        <w:tab/>
        <w:t xml:space="preserve">             А.Тимофійчук</w:t>
      </w:r>
      <w:r>
        <w:t xml:space="preserve"> </w:t>
      </w:r>
    </w:p>
    <w:p w:rsidR="00FF43B9" w:rsidRPr="00BB7695" w:rsidRDefault="00FF43B9" w:rsidP="00FF43B9">
      <w:pPr>
        <w:rPr>
          <w:szCs w:val="27"/>
        </w:rPr>
      </w:pPr>
    </w:p>
    <w:p w:rsidR="00CF3F00" w:rsidRPr="00FF43B9" w:rsidRDefault="00CF3F00" w:rsidP="00FF43B9">
      <w:pPr>
        <w:jc w:val="center"/>
        <w:rPr>
          <w:sz w:val="20"/>
          <w:szCs w:val="20"/>
        </w:rPr>
      </w:pPr>
    </w:p>
    <w:sectPr w:rsidR="00CF3F00" w:rsidRPr="00FF43B9" w:rsidSect="006C4030">
      <w:headerReference w:type="default" r:id="rId9"/>
      <w:pgSz w:w="11906" w:h="16838"/>
      <w:pgMar w:top="992" w:right="567"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EF3" w:rsidRDefault="00B61EF3" w:rsidP="001F0E9D">
      <w:r>
        <w:separator/>
      </w:r>
    </w:p>
  </w:endnote>
  <w:endnote w:type="continuationSeparator" w:id="0">
    <w:p w:rsidR="00B61EF3" w:rsidRDefault="00B61EF3" w:rsidP="001F0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EF3" w:rsidRDefault="00B61EF3" w:rsidP="001F0E9D">
      <w:r>
        <w:separator/>
      </w:r>
    </w:p>
  </w:footnote>
  <w:footnote w:type="continuationSeparator" w:id="0">
    <w:p w:rsidR="00B61EF3" w:rsidRDefault="00B61EF3" w:rsidP="001F0E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BC6" w:rsidRDefault="001C0BC6">
    <w:pPr>
      <w:pStyle w:val="a3"/>
      <w:jc w:val="center"/>
    </w:pPr>
    <w:r>
      <w:fldChar w:fldCharType="begin"/>
    </w:r>
    <w:r>
      <w:instrText xml:space="preserve"> PAGE   \* MERGEFORMAT </w:instrText>
    </w:r>
    <w:r>
      <w:fldChar w:fldCharType="separate"/>
    </w:r>
    <w:r w:rsidR="008449D4">
      <w:rPr>
        <w:noProof/>
      </w:rPr>
      <w:t>2</w:t>
    </w:r>
    <w:r>
      <w:fldChar w:fldCharType="end"/>
    </w:r>
  </w:p>
  <w:p w:rsidR="001C0BC6" w:rsidRDefault="001C0BC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53357E"/>
    <w:multiLevelType w:val="hybridMultilevel"/>
    <w:tmpl w:val="A4EA16A4"/>
    <w:lvl w:ilvl="0" w:tplc="8662FE12">
      <w:numFmt w:val="bullet"/>
      <w:lvlText w:val="-"/>
      <w:lvlJc w:val="left"/>
      <w:pPr>
        <w:ind w:left="1800" w:hanging="360"/>
      </w:pPr>
      <w:rPr>
        <w:rFonts w:ascii="Times New Roman" w:eastAsia="Times New Roman" w:hAnsi="Times New Roman" w:cs="Times New Roman" w:hint="default"/>
      </w:rPr>
    </w:lvl>
    <w:lvl w:ilvl="1" w:tplc="04220003" w:tentative="1">
      <w:start w:val="1"/>
      <w:numFmt w:val="bullet"/>
      <w:lvlText w:val="o"/>
      <w:lvlJc w:val="left"/>
      <w:pPr>
        <w:ind w:left="2520" w:hanging="360"/>
      </w:pPr>
      <w:rPr>
        <w:rFonts w:ascii="Courier New" w:hAnsi="Courier New" w:cs="Courier New" w:hint="default"/>
      </w:rPr>
    </w:lvl>
    <w:lvl w:ilvl="2" w:tplc="04220005" w:tentative="1">
      <w:start w:val="1"/>
      <w:numFmt w:val="bullet"/>
      <w:lvlText w:val=""/>
      <w:lvlJc w:val="left"/>
      <w:pPr>
        <w:ind w:left="3240" w:hanging="360"/>
      </w:pPr>
      <w:rPr>
        <w:rFonts w:ascii="Wingdings" w:hAnsi="Wingdings" w:hint="default"/>
      </w:rPr>
    </w:lvl>
    <w:lvl w:ilvl="3" w:tplc="04220001" w:tentative="1">
      <w:start w:val="1"/>
      <w:numFmt w:val="bullet"/>
      <w:lvlText w:val=""/>
      <w:lvlJc w:val="left"/>
      <w:pPr>
        <w:ind w:left="3960" w:hanging="360"/>
      </w:pPr>
      <w:rPr>
        <w:rFonts w:ascii="Symbol" w:hAnsi="Symbol" w:hint="default"/>
      </w:rPr>
    </w:lvl>
    <w:lvl w:ilvl="4" w:tplc="04220003" w:tentative="1">
      <w:start w:val="1"/>
      <w:numFmt w:val="bullet"/>
      <w:lvlText w:val="o"/>
      <w:lvlJc w:val="left"/>
      <w:pPr>
        <w:ind w:left="4680" w:hanging="360"/>
      </w:pPr>
      <w:rPr>
        <w:rFonts w:ascii="Courier New" w:hAnsi="Courier New" w:cs="Courier New" w:hint="default"/>
      </w:rPr>
    </w:lvl>
    <w:lvl w:ilvl="5" w:tplc="04220005" w:tentative="1">
      <w:start w:val="1"/>
      <w:numFmt w:val="bullet"/>
      <w:lvlText w:val=""/>
      <w:lvlJc w:val="left"/>
      <w:pPr>
        <w:ind w:left="5400" w:hanging="360"/>
      </w:pPr>
      <w:rPr>
        <w:rFonts w:ascii="Wingdings" w:hAnsi="Wingdings" w:hint="default"/>
      </w:rPr>
    </w:lvl>
    <w:lvl w:ilvl="6" w:tplc="04220001" w:tentative="1">
      <w:start w:val="1"/>
      <w:numFmt w:val="bullet"/>
      <w:lvlText w:val=""/>
      <w:lvlJc w:val="left"/>
      <w:pPr>
        <w:ind w:left="6120" w:hanging="360"/>
      </w:pPr>
      <w:rPr>
        <w:rFonts w:ascii="Symbol" w:hAnsi="Symbol" w:hint="default"/>
      </w:rPr>
    </w:lvl>
    <w:lvl w:ilvl="7" w:tplc="04220003" w:tentative="1">
      <w:start w:val="1"/>
      <w:numFmt w:val="bullet"/>
      <w:lvlText w:val="o"/>
      <w:lvlJc w:val="left"/>
      <w:pPr>
        <w:ind w:left="6840" w:hanging="360"/>
      </w:pPr>
      <w:rPr>
        <w:rFonts w:ascii="Courier New" w:hAnsi="Courier New" w:cs="Courier New" w:hint="default"/>
      </w:rPr>
    </w:lvl>
    <w:lvl w:ilvl="8" w:tplc="04220005" w:tentative="1">
      <w:start w:val="1"/>
      <w:numFmt w:val="bullet"/>
      <w:lvlText w:val=""/>
      <w:lvlJc w:val="left"/>
      <w:pPr>
        <w:ind w:left="7560" w:hanging="360"/>
      </w:pPr>
      <w:rPr>
        <w:rFonts w:ascii="Wingdings" w:hAnsi="Wingdings" w:hint="default"/>
      </w:rPr>
    </w:lvl>
  </w:abstractNum>
  <w:abstractNum w:abstractNumId="1" w15:restartNumberingAfterBreak="0">
    <w:nsid w:val="3A37079E"/>
    <w:multiLevelType w:val="hybridMultilevel"/>
    <w:tmpl w:val="40EE53F0"/>
    <w:lvl w:ilvl="0" w:tplc="202A48C2">
      <w:numFmt w:val="bullet"/>
      <w:lvlText w:val="-"/>
      <w:lvlJc w:val="left"/>
      <w:pPr>
        <w:tabs>
          <w:tab w:val="num" w:pos="786"/>
        </w:tabs>
        <w:ind w:left="786"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66AD459E"/>
    <w:multiLevelType w:val="hybridMultilevel"/>
    <w:tmpl w:val="FF724AEC"/>
    <w:lvl w:ilvl="0" w:tplc="CB24B570">
      <w:numFmt w:val="bullet"/>
      <w:lvlText w:val="-"/>
      <w:lvlJc w:val="left"/>
      <w:pPr>
        <w:tabs>
          <w:tab w:val="num" w:pos="1245"/>
        </w:tabs>
        <w:ind w:left="1245" w:hanging="705"/>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6DA5294E"/>
    <w:multiLevelType w:val="hybridMultilevel"/>
    <w:tmpl w:val="702813EA"/>
    <w:lvl w:ilvl="0" w:tplc="5238938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7E822105"/>
    <w:multiLevelType w:val="hybridMultilevel"/>
    <w:tmpl w:val="21D659DA"/>
    <w:lvl w:ilvl="0" w:tplc="60BA20F0">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2C"/>
    <w:rsid w:val="00002B71"/>
    <w:rsid w:val="00012E5A"/>
    <w:rsid w:val="00014DAE"/>
    <w:rsid w:val="00014FA8"/>
    <w:rsid w:val="000162EB"/>
    <w:rsid w:val="00022745"/>
    <w:rsid w:val="0002434E"/>
    <w:rsid w:val="000269D5"/>
    <w:rsid w:val="0002743F"/>
    <w:rsid w:val="00035D16"/>
    <w:rsid w:val="000531B0"/>
    <w:rsid w:val="00053800"/>
    <w:rsid w:val="00056C31"/>
    <w:rsid w:val="0009019A"/>
    <w:rsid w:val="00095CE4"/>
    <w:rsid w:val="00097EB0"/>
    <w:rsid w:val="000A2B28"/>
    <w:rsid w:val="000B518F"/>
    <w:rsid w:val="000E1B59"/>
    <w:rsid w:val="000E6C74"/>
    <w:rsid w:val="000F469D"/>
    <w:rsid w:val="000F47FF"/>
    <w:rsid w:val="000F4C8A"/>
    <w:rsid w:val="00103254"/>
    <w:rsid w:val="00104036"/>
    <w:rsid w:val="001144F5"/>
    <w:rsid w:val="0011610F"/>
    <w:rsid w:val="00126AEF"/>
    <w:rsid w:val="001334CA"/>
    <w:rsid w:val="001365F1"/>
    <w:rsid w:val="00137926"/>
    <w:rsid w:val="00146A2E"/>
    <w:rsid w:val="00151A67"/>
    <w:rsid w:val="001635D5"/>
    <w:rsid w:val="001640B0"/>
    <w:rsid w:val="00174AF3"/>
    <w:rsid w:val="00182AE2"/>
    <w:rsid w:val="00184B79"/>
    <w:rsid w:val="00194B36"/>
    <w:rsid w:val="001A1C35"/>
    <w:rsid w:val="001A6D47"/>
    <w:rsid w:val="001B1762"/>
    <w:rsid w:val="001B3776"/>
    <w:rsid w:val="001C0BC6"/>
    <w:rsid w:val="001C4FDC"/>
    <w:rsid w:val="001D6E00"/>
    <w:rsid w:val="001D7BBF"/>
    <w:rsid w:val="001E0D20"/>
    <w:rsid w:val="001F0E9D"/>
    <w:rsid w:val="001F4AE1"/>
    <w:rsid w:val="002006D9"/>
    <w:rsid w:val="00201D15"/>
    <w:rsid w:val="00212C07"/>
    <w:rsid w:val="002148AE"/>
    <w:rsid w:val="00222899"/>
    <w:rsid w:val="0022649B"/>
    <w:rsid w:val="0022718A"/>
    <w:rsid w:val="00232CF7"/>
    <w:rsid w:val="00253DB6"/>
    <w:rsid w:val="0025421D"/>
    <w:rsid w:val="00254360"/>
    <w:rsid w:val="00257F44"/>
    <w:rsid w:val="00263564"/>
    <w:rsid w:val="00281526"/>
    <w:rsid w:val="00284D37"/>
    <w:rsid w:val="00285E55"/>
    <w:rsid w:val="00290270"/>
    <w:rsid w:val="0029083A"/>
    <w:rsid w:val="002A0B5F"/>
    <w:rsid w:val="002B76EC"/>
    <w:rsid w:val="002C2E59"/>
    <w:rsid w:val="002C4FF4"/>
    <w:rsid w:val="002D07B8"/>
    <w:rsid w:val="002D3898"/>
    <w:rsid w:val="002E7E0B"/>
    <w:rsid w:val="002F714E"/>
    <w:rsid w:val="00301BD5"/>
    <w:rsid w:val="00307E3F"/>
    <w:rsid w:val="003103A9"/>
    <w:rsid w:val="00324B6A"/>
    <w:rsid w:val="003329F3"/>
    <w:rsid w:val="00341CB0"/>
    <w:rsid w:val="00360E1E"/>
    <w:rsid w:val="0036450A"/>
    <w:rsid w:val="00367F77"/>
    <w:rsid w:val="00377E3B"/>
    <w:rsid w:val="00380A5B"/>
    <w:rsid w:val="003A0813"/>
    <w:rsid w:val="003A1D4B"/>
    <w:rsid w:val="003A4F6E"/>
    <w:rsid w:val="003A55A1"/>
    <w:rsid w:val="003B342F"/>
    <w:rsid w:val="003B55C9"/>
    <w:rsid w:val="003C59AD"/>
    <w:rsid w:val="003C5B88"/>
    <w:rsid w:val="003E0F69"/>
    <w:rsid w:val="003F0216"/>
    <w:rsid w:val="003F7D88"/>
    <w:rsid w:val="004042C1"/>
    <w:rsid w:val="00410C2B"/>
    <w:rsid w:val="00413F56"/>
    <w:rsid w:val="00416897"/>
    <w:rsid w:val="00420348"/>
    <w:rsid w:val="0042638C"/>
    <w:rsid w:val="004336A1"/>
    <w:rsid w:val="004457FA"/>
    <w:rsid w:val="004502FE"/>
    <w:rsid w:val="0045291D"/>
    <w:rsid w:val="00453F2C"/>
    <w:rsid w:val="00460883"/>
    <w:rsid w:val="00464B14"/>
    <w:rsid w:val="00470B1F"/>
    <w:rsid w:val="00474EED"/>
    <w:rsid w:val="004B29F6"/>
    <w:rsid w:val="004B44D9"/>
    <w:rsid w:val="004B64B8"/>
    <w:rsid w:val="004C4757"/>
    <w:rsid w:val="004C5BA0"/>
    <w:rsid w:val="004C7A32"/>
    <w:rsid w:val="004F0DED"/>
    <w:rsid w:val="0050023A"/>
    <w:rsid w:val="00503668"/>
    <w:rsid w:val="005076A0"/>
    <w:rsid w:val="00522E8A"/>
    <w:rsid w:val="005252CA"/>
    <w:rsid w:val="00535FE1"/>
    <w:rsid w:val="00544D33"/>
    <w:rsid w:val="005460CF"/>
    <w:rsid w:val="005527FA"/>
    <w:rsid w:val="005550D8"/>
    <w:rsid w:val="0056463C"/>
    <w:rsid w:val="00565443"/>
    <w:rsid w:val="00570E2B"/>
    <w:rsid w:val="0057187A"/>
    <w:rsid w:val="00572491"/>
    <w:rsid w:val="00572D90"/>
    <w:rsid w:val="00572E15"/>
    <w:rsid w:val="005814AD"/>
    <w:rsid w:val="00585754"/>
    <w:rsid w:val="00593205"/>
    <w:rsid w:val="00595058"/>
    <w:rsid w:val="005A77BD"/>
    <w:rsid w:val="005B6D26"/>
    <w:rsid w:val="005C0813"/>
    <w:rsid w:val="005C2D23"/>
    <w:rsid w:val="005D3E6D"/>
    <w:rsid w:val="005E3317"/>
    <w:rsid w:val="005F422D"/>
    <w:rsid w:val="005F6047"/>
    <w:rsid w:val="006118D1"/>
    <w:rsid w:val="00616D2A"/>
    <w:rsid w:val="00617C17"/>
    <w:rsid w:val="0063119F"/>
    <w:rsid w:val="00653A84"/>
    <w:rsid w:val="0065443B"/>
    <w:rsid w:val="00672863"/>
    <w:rsid w:val="00673B20"/>
    <w:rsid w:val="00685B52"/>
    <w:rsid w:val="006A2DA7"/>
    <w:rsid w:val="006B4586"/>
    <w:rsid w:val="006B4E66"/>
    <w:rsid w:val="006C4030"/>
    <w:rsid w:val="006D5D6E"/>
    <w:rsid w:val="006E2F60"/>
    <w:rsid w:val="006E510B"/>
    <w:rsid w:val="006E51DD"/>
    <w:rsid w:val="006F5956"/>
    <w:rsid w:val="006F6302"/>
    <w:rsid w:val="006F7F96"/>
    <w:rsid w:val="007166E5"/>
    <w:rsid w:val="007168CA"/>
    <w:rsid w:val="00724383"/>
    <w:rsid w:val="0072499E"/>
    <w:rsid w:val="00730F7E"/>
    <w:rsid w:val="007318BD"/>
    <w:rsid w:val="00732C83"/>
    <w:rsid w:val="00732D86"/>
    <w:rsid w:val="007466F4"/>
    <w:rsid w:val="00761EAA"/>
    <w:rsid w:val="00767DEE"/>
    <w:rsid w:val="00781F37"/>
    <w:rsid w:val="0079592D"/>
    <w:rsid w:val="00796A2D"/>
    <w:rsid w:val="007A0931"/>
    <w:rsid w:val="007A1499"/>
    <w:rsid w:val="007A45F3"/>
    <w:rsid w:val="007A73B8"/>
    <w:rsid w:val="007B10AF"/>
    <w:rsid w:val="007B75F0"/>
    <w:rsid w:val="007C26A1"/>
    <w:rsid w:val="007C4AF4"/>
    <w:rsid w:val="007C7416"/>
    <w:rsid w:val="007D33BC"/>
    <w:rsid w:val="007D370D"/>
    <w:rsid w:val="007F1DA2"/>
    <w:rsid w:val="007F2F01"/>
    <w:rsid w:val="00813616"/>
    <w:rsid w:val="00815D3D"/>
    <w:rsid w:val="00816117"/>
    <w:rsid w:val="008217C5"/>
    <w:rsid w:val="008335FA"/>
    <w:rsid w:val="00837929"/>
    <w:rsid w:val="008449D4"/>
    <w:rsid w:val="00845076"/>
    <w:rsid w:val="00846F19"/>
    <w:rsid w:val="00866BE2"/>
    <w:rsid w:val="008776F9"/>
    <w:rsid w:val="0088331E"/>
    <w:rsid w:val="008850C0"/>
    <w:rsid w:val="008A0DAE"/>
    <w:rsid w:val="008A209B"/>
    <w:rsid w:val="008A509B"/>
    <w:rsid w:val="008C06A5"/>
    <w:rsid w:val="008C4EB4"/>
    <w:rsid w:val="008D589D"/>
    <w:rsid w:val="008F2254"/>
    <w:rsid w:val="00904AF8"/>
    <w:rsid w:val="00914AF6"/>
    <w:rsid w:val="00920CD7"/>
    <w:rsid w:val="009225A3"/>
    <w:rsid w:val="00941FCE"/>
    <w:rsid w:val="0095063B"/>
    <w:rsid w:val="009612D4"/>
    <w:rsid w:val="00980846"/>
    <w:rsid w:val="00986F56"/>
    <w:rsid w:val="0099077D"/>
    <w:rsid w:val="009921F3"/>
    <w:rsid w:val="009A00E3"/>
    <w:rsid w:val="009A44E5"/>
    <w:rsid w:val="009C0D63"/>
    <w:rsid w:val="009C3F78"/>
    <w:rsid w:val="009D2ED1"/>
    <w:rsid w:val="009D604B"/>
    <w:rsid w:val="009E5E9C"/>
    <w:rsid w:val="009E7345"/>
    <w:rsid w:val="00A030E9"/>
    <w:rsid w:val="00A0392A"/>
    <w:rsid w:val="00A05110"/>
    <w:rsid w:val="00A069EE"/>
    <w:rsid w:val="00A1029F"/>
    <w:rsid w:val="00A15FFB"/>
    <w:rsid w:val="00A1798D"/>
    <w:rsid w:val="00A203B0"/>
    <w:rsid w:val="00A44073"/>
    <w:rsid w:val="00A71CE4"/>
    <w:rsid w:val="00A831FD"/>
    <w:rsid w:val="00A921E3"/>
    <w:rsid w:val="00A939BB"/>
    <w:rsid w:val="00AA3F4B"/>
    <w:rsid w:val="00AA49C3"/>
    <w:rsid w:val="00AB35F5"/>
    <w:rsid w:val="00AB3D08"/>
    <w:rsid w:val="00AB5C40"/>
    <w:rsid w:val="00AC22B0"/>
    <w:rsid w:val="00AC332B"/>
    <w:rsid w:val="00AD149F"/>
    <w:rsid w:val="00AE4014"/>
    <w:rsid w:val="00AF2882"/>
    <w:rsid w:val="00AF7CFD"/>
    <w:rsid w:val="00B04B84"/>
    <w:rsid w:val="00B060C3"/>
    <w:rsid w:val="00B13143"/>
    <w:rsid w:val="00B2404A"/>
    <w:rsid w:val="00B61EF3"/>
    <w:rsid w:val="00B622FD"/>
    <w:rsid w:val="00B634A5"/>
    <w:rsid w:val="00B6502A"/>
    <w:rsid w:val="00B77728"/>
    <w:rsid w:val="00BA4860"/>
    <w:rsid w:val="00BB76A5"/>
    <w:rsid w:val="00BC2FFA"/>
    <w:rsid w:val="00BE7EA5"/>
    <w:rsid w:val="00BF54DE"/>
    <w:rsid w:val="00BF5E7A"/>
    <w:rsid w:val="00C00823"/>
    <w:rsid w:val="00C06B2F"/>
    <w:rsid w:val="00C15DCE"/>
    <w:rsid w:val="00C3241E"/>
    <w:rsid w:val="00C44352"/>
    <w:rsid w:val="00C470DD"/>
    <w:rsid w:val="00C6377D"/>
    <w:rsid w:val="00C64A64"/>
    <w:rsid w:val="00C66396"/>
    <w:rsid w:val="00C67E55"/>
    <w:rsid w:val="00C72453"/>
    <w:rsid w:val="00C72ADB"/>
    <w:rsid w:val="00C738A8"/>
    <w:rsid w:val="00C92E9D"/>
    <w:rsid w:val="00CA01B2"/>
    <w:rsid w:val="00CB506F"/>
    <w:rsid w:val="00CC3E75"/>
    <w:rsid w:val="00CC41F1"/>
    <w:rsid w:val="00CC5CCB"/>
    <w:rsid w:val="00CE0950"/>
    <w:rsid w:val="00CF3F00"/>
    <w:rsid w:val="00D017AF"/>
    <w:rsid w:val="00D065D6"/>
    <w:rsid w:val="00D10CC0"/>
    <w:rsid w:val="00D165F7"/>
    <w:rsid w:val="00D21852"/>
    <w:rsid w:val="00D34FE4"/>
    <w:rsid w:val="00D72DD0"/>
    <w:rsid w:val="00D75E9C"/>
    <w:rsid w:val="00D82CAA"/>
    <w:rsid w:val="00D834C1"/>
    <w:rsid w:val="00D92956"/>
    <w:rsid w:val="00D92E84"/>
    <w:rsid w:val="00DA05E0"/>
    <w:rsid w:val="00DB21A1"/>
    <w:rsid w:val="00DC31E3"/>
    <w:rsid w:val="00DC4345"/>
    <w:rsid w:val="00DD2AEF"/>
    <w:rsid w:val="00DD3915"/>
    <w:rsid w:val="00DD4D9A"/>
    <w:rsid w:val="00E01EB5"/>
    <w:rsid w:val="00E121E3"/>
    <w:rsid w:val="00E278A5"/>
    <w:rsid w:val="00E30BFB"/>
    <w:rsid w:val="00E348B4"/>
    <w:rsid w:val="00E429CC"/>
    <w:rsid w:val="00E64BA9"/>
    <w:rsid w:val="00E65A2A"/>
    <w:rsid w:val="00E66D9D"/>
    <w:rsid w:val="00E94F01"/>
    <w:rsid w:val="00EA1E5A"/>
    <w:rsid w:val="00EA516E"/>
    <w:rsid w:val="00EA5734"/>
    <w:rsid w:val="00EA65FE"/>
    <w:rsid w:val="00EB308C"/>
    <w:rsid w:val="00EB4D1E"/>
    <w:rsid w:val="00EC636B"/>
    <w:rsid w:val="00EE64A7"/>
    <w:rsid w:val="00F00926"/>
    <w:rsid w:val="00F04247"/>
    <w:rsid w:val="00F25AE9"/>
    <w:rsid w:val="00F30090"/>
    <w:rsid w:val="00F3230D"/>
    <w:rsid w:val="00F37024"/>
    <w:rsid w:val="00F450CF"/>
    <w:rsid w:val="00F47471"/>
    <w:rsid w:val="00F534EF"/>
    <w:rsid w:val="00F721EB"/>
    <w:rsid w:val="00F741ED"/>
    <w:rsid w:val="00F843BE"/>
    <w:rsid w:val="00F86345"/>
    <w:rsid w:val="00F96597"/>
    <w:rsid w:val="00FA2B16"/>
    <w:rsid w:val="00FA4343"/>
    <w:rsid w:val="00FA5E03"/>
    <w:rsid w:val="00FB66B2"/>
    <w:rsid w:val="00FC658B"/>
    <w:rsid w:val="00FD64DB"/>
    <w:rsid w:val="00FD6669"/>
    <w:rsid w:val="00FE302D"/>
    <w:rsid w:val="00FF43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17809B6-E3DE-4892-9EA1-508E7C6BC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qFormat/>
    <w:rsid w:val="00D82CAA"/>
    <w:pPr>
      <w:keepNext/>
      <w:jc w:val="center"/>
      <w:outlineLvl w:val="2"/>
    </w:pPr>
    <w:rPr>
      <w:sz w:val="28"/>
      <w:lang w:val="uk-UA" w:eastAsia="x-none"/>
    </w:rPr>
  </w:style>
  <w:style w:type="paragraph" w:styleId="5">
    <w:name w:val="heading 5"/>
    <w:basedOn w:val="a"/>
    <w:next w:val="a"/>
    <w:link w:val="50"/>
    <w:qFormat/>
    <w:rsid w:val="003A4F6E"/>
    <w:pPr>
      <w:spacing w:before="240" w:after="60"/>
      <w:outlineLvl w:val="4"/>
    </w:pPr>
    <w:rPr>
      <w:rFonts w:ascii="Calibri" w:hAnsi="Calibri"/>
      <w:b/>
      <w:bCs/>
      <w:i/>
      <w:iCs/>
      <w:sz w:val="26"/>
      <w:szCs w:val="26"/>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rsid w:val="00D82CAA"/>
    <w:rPr>
      <w:sz w:val="28"/>
      <w:szCs w:val="24"/>
      <w:lang w:val="uk-UA"/>
    </w:rPr>
  </w:style>
  <w:style w:type="paragraph" w:styleId="31">
    <w:name w:val="Body Text 3"/>
    <w:basedOn w:val="a"/>
    <w:link w:val="32"/>
    <w:rsid w:val="00D82CAA"/>
    <w:pPr>
      <w:jc w:val="center"/>
    </w:pPr>
    <w:rPr>
      <w:b/>
      <w:sz w:val="28"/>
      <w:lang w:val="uk-UA" w:eastAsia="x-none"/>
    </w:rPr>
  </w:style>
  <w:style w:type="character" w:customStyle="1" w:styleId="32">
    <w:name w:val="Основной текст 3 Знак"/>
    <w:link w:val="31"/>
    <w:rsid w:val="00D82CAA"/>
    <w:rPr>
      <w:b/>
      <w:sz w:val="28"/>
      <w:szCs w:val="24"/>
      <w:lang w:val="uk-UA"/>
    </w:rPr>
  </w:style>
  <w:style w:type="paragraph" w:styleId="a3">
    <w:name w:val="header"/>
    <w:basedOn w:val="a"/>
    <w:link w:val="a4"/>
    <w:uiPriority w:val="99"/>
    <w:rsid w:val="001F0E9D"/>
    <w:pPr>
      <w:tabs>
        <w:tab w:val="center" w:pos="4677"/>
        <w:tab w:val="right" w:pos="9355"/>
      </w:tabs>
    </w:pPr>
    <w:rPr>
      <w:lang w:val="x-none" w:eastAsia="x-none"/>
    </w:rPr>
  </w:style>
  <w:style w:type="character" w:customStyle="1" w:styleId="a4">
    <w:name w:val="Верхний колонтитул Знак"/>
    <w:link w:val="a3"/>
    <w:uiPriority w:val="99"/>
    <w:rsid w:val="001F0E9D"/>
    <w:rPr>
      <w:sz w:val="24"/>
      <w:szCs w:val="24"/>
    </w:rPr>
  </w:style>
  <w:style w:type="paragraph" w:styleId="a5">
    <w:name w:val="footer"/>
    <w:basedOn w:val="a"/>
    <w:link w:val="a6"/>
    <w:rsid w:val="001F0E9D"/>
    <w:pPr>
      <w:tabs>
        <w:tab w:val="center" w:pos="4677"/>
        <w:tab w:val="right" w:pos="9355"/>
      </w:tabs>
    </w:pPr>
    <w:rPr>
      <w:lang w:val="x-none" w:eastAsia="x-none"/>
    </w:rPr>
  </w:style>
  <w:style w:type="character" w:customStyle="1" w:styleId="a6">
    <w:name w:val="Нижний колонтитул Знак"/>
    <w:link w:val="a5"/>
    <w:rsid w:val="001F0E9D"/>
    <w:rPr>
      <w:sz w:val="24"/>
      <w:szCs w:val="24"/>
    </w:rPr>
  </w:style>
  <w:style w:type="character" w:customStyle="1" w:styleId="50">
    <w:name w:val="Заголовок 5 Знак"/>
    <w:link w:val="5"/>
    <w:semiHidden/>
    <w:rsid w:val="003A4F6E"/>
    <w:rPr>
      <w:rFonts w:ascii="Calibri" w:eastAsia="Times New Roman" w:hAnsi="Calibri" w:cs="Times New Roman"/>
      <w:b/>
      <w:bCs/>
      <w:i/>
      <w:iCs/>
      <w:sz w:val="26"/>
      <w:szCs w:val="26"/>
    </w:rPr>
  </w:style>
  <w:style w:type="paragraph" w:customStyle="1" w:styleId="2">
    <w:name w:val="çàãîëîâîê 2"/>
    <w:basedOn w:val="a"/>
    <w:next w:val="a"/>
    <w:rsid w:val="003A4F6E"/>
    <w:pPr>
      <w:keepNext/>
      <w:jc w:val="center"/>
    </w:pPr>
    <w:rPr>
      <w:rFonts w:ascii="Arial" w:hAnsi="Arial"/>
      <w:b/>
      <w:caps/>
      <w:sz w:val="32"/>
      <w:szCs w:val="20"/>
      <w:lang w:val="uk-UA" w:eastAsia="uk-UA"/>
    </w:rPr>
  </w:style>
  <w:style w:type="paragraph" w:customStyle="1" w:styleId="1">
    <w:name w:val="çàãîëîâîê 1"/>
    <w:basedOn w:val="a"/>
    <w:next w:val="a"/>
    <w:rsid w:val="008F2254"/>
    <w:pPr>
      <w:keepNext/>
      <w:suppressAutoHyphens/>
      <w:jc w:val="center"/>
    </w:pPr>
    <w:rPr>
      <w:rFonts w:ascii="Arial" w:hAnsi="Arial"/>
      <w:kern w:val="1"/>
      <w:sz w:val="30"/>
      <w:szCs w:val="20"/>
      <w:lang w:val="uk-UA" w:eastAsia="ar-SA"/>
    </w:rPr>
  </w:style>
  <w:style w:type="paragraph" w:customStyle="1" w:styleId="4">
    <w:name w:val="çàãîëîâîê 4"/>
    <w:basedOn w:val="a"/>
    <w:next w:val="a"/>
    <w:rsid w:val="008F2254"/>
    <w:pPr>
      <w:keepNext/>
      <w:suppressAutoHyphens/>
      <w:jc w:val="center"/>
    </w:pPr>
    <w:rPr>
      <w:rFonts w:ascii="Arial" w:hAnsi="Arial"/>
      <w:b/>
      <w:kern w:val="1"/>
      <w:sz w:val="36"/>
      <w:szCs w:val="20"/>
      <w:lang w:val="uk-UA" w:eastAsia="ar-SA"/>
    </w:rPr>
  </w:style>
  <w:style w:type="paragraph" w:customStyle="1" w:styleId="a7">
    <w:name w:val=" Знак"/>
    <w:basedOn w:val="a"/>
    <w:rsid w:val="00416897"/>
    <w:rPr>
      <w:rFonts w:ascii="Verdana" w:hAnsi="Verdana" w:cs="Verdana"/>
      <w:sz w:val="20"/>
      <w:szCs w:val="20"/>
      <w:lang w:val="en-US" w:eastAsia="en-US"/>
    </w:rPr>
  </w:style>
  <w:style w:type="paragraph" w:customStyle="1" w:styleId="a8">
    <w:name w:val=" Знак Знак Знак Знак"/>
    <w:basedOn w:val="a"/>
    <w:rsid w:val="005D3E6D"/>
    <w:rPr>
      <w:rFonts w:ascii="Verdana" w:hAnsi="Verdana" w:cs="Verdana"/>
      <w:sz w:val="20"/>
      <w:szCs w:val="20"/>
      <w:lang w:val="en-US" w:eastAsia="en-US"/>
    </w:rPr>
  </w:style>
  <w:style w:type="paragraph" w:styleId="a9">
    <w:name w:val="Balloon Text"/>
    <w:basedOn w:val="a"/>
    <w:link w:val="aa"/>
    <w:rsid w:val="005076A0"/>
    <w:rPr>
      <w:rFonts w:ascii="Segoe UI" w:hAnsi="Segoe UI"/>
      <w:sz w:val="18"/>
      <w:szCs w:val="18"/>
    </w:rPr>
  </w:style>
  <w:style w:type="character" w:customStyle="1" w:styleId="aa">
    <w:name w:val="Текст выноски Знак"/>
    <w:link w:val="a9"/>
    <w:rsid w:val="005076A0"/>
    <w:rPr>
      <w:rFonts w:ascii="Segoe UI" w:hAnsi="Segoe UI" w:cs="Segoe UI"/>
      <w:sz w:val="18"/>
      <w:szCs w:val="18"/>
      <w:lang w:val="ru-RU" w:eastAsia="ru-RU"/>
    </w:rPr>
  </w:style>
  <w:style w:type="paragraph" w:styleId="ab">
    <w:name w:val="Normal (Web)"/>
    <w:basedOn w:val="a"/>
    <w:rsid w:val="00E01EB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62"/>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6388888888888895E-2"/>
          <c:y val="4.4715447154471545E-2"/>
          <c:w val="0.578125"/>
          <c:h val="0.80487804878048785"/>
        </c:manualLayout>
      </c:layout>
      <c:bar3DChart>
        <c:barDir val="col"/>
        <c:grouping val="clustered"/>
        <c:varyColors val="0"/>
        <c:ser>
          <c:idx val="0"/>
          <c:order val="0"/>
          <c:tx>
            <c:strRef>
              <c:f>Sheet1!$A$2</c:f>
              <c:strCache>
                <c:ptCount val="1"/>
                <c:pt idx="0">
                  <c:v>Загальна сума залучених коштів замовників, при розміщенні ЛТМ і ПТС, тис. грн.</c:v>
                </c:pt>
              </c:strCache>
            </c:strRef>
          </c:tx>
          <c:spPr>
            <a:solidFill>
              <a:srgbClr val="9999FF"/>
            </a:solidFill>
            <a:ln w="12700">
              <a:solidFill>
                <a:srgbClr val="000000"/>
              </a:solidFill>
              <a:prstDash val="solid"/>
            </a:ln>
          </c:spPr>
          <c:invertIfNegative val="0"/>
          <c:dLbls>
            <c:dLbl>
              <c:idx val="1"/>
              <c:spPr>
                <a:noFill/>
                <a:ln w="25401">
                  <a:noFill/>
                </a:ln>
              </c:spPr>
              <c:txPr>
                <a:bodyPr/>
                <a:lstStyle/>
                <a:p>
                  <a:pPr>
                    <a:defRPr sz="1075"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6="http://schemas.microsoft.com/office/drawing/2014/chart" uri="{C3380CC4-5D6E-409C-BE32-E72D297353CC}">
                  <c16:uniqueId val="{00000001-53BF-44DC-989B-126E7F42DD0F}"/>
                </c:ext>
              </c:extLst>
            </c:dLbl>
            <c:dLbl>
              <c:idx val="2"/>
              <c:spPr>
                <a:noFill/>
                <a:ln w="25401">
                  <a:noFill/>
                </a:ln>
              </c:spPr>
              <c:txPr>
                <a:bodyPr/>
                <a:lstStyle/>
                <a:p>
                  <a:pPr>
                    <a:defRPr sz="1075"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extLst>
                <c:ext xmlns:c16="http://schemas.microsoft.com/office/drawing/2014/chart" uri="{C3380CC4-5D6E-409C-BE32-E72D297353CC}">
                  <c16:uniqueId val="{00000000-53BF-44DC-989B-126E7F42DD0F}"/>
                </c:ext>
              </c:extLst>
            </c:dLbl>
            <c:spPr>
              <a:noFill/>
              <a:ln w="25401">
                <a:noFill/>
              </a:ln>
            </c:spPr>
            <c:txPr>
              <a:bodyPr wrap="square" lIns="38100" tIns="19050" rIns="38100" bIns="19050" anchor="ctr">
                <a:spAutoFit/>
              </a:bodyPr>
              <a:lstStyle/>
              <a:p>
                <a:pPr>
                  <a:defRPr sz="1075"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2016 рік</c:v>
                </c:pt>
                <c:pt idx="1">
                  <c:v>2017рік</c:v>
                </c:pt>
                <c:pt idx="2">
                  <c:v>2018 рік</c:v>
                </c:pt>
              </c:strCache>
            </c:strRef>
          </c:cat>
          <c:val>
            <c:numRef>
              <c:f>Sheet1!$B$2:$D$2</c:f>
              <c:numCache>
                <c:formatCode>\О\с\н\о\в\н\о\й</c:formatCode>
                <c:ptCount val="3"/>
                <c:pt idx="0">
                  <c:v>1271.58</c:v>
                </c:pt>
                <c:pt idx="1">
                  <c:v>1253.43</c:v>
                </c:pt>
                <c:pt idx="2">
                  <c:v>1595.56</c:v>
                </c:pt>
              </c:numCache>
            </c:numRef>
          </c:val>
          <c:shape val="cylinder"/>
          <c:extLst>
            <c:ext xmlns:c16="http://schemas.microsoft.com/office/drawing/2014/chart" uri="{C3380CC4-5D6E-409C-BE32-E72D297353CC}">
              <c16:uniqueId val="{00000002-53BF-44DC-989B-126E7F42DD0F}"/>
            </c:ext>
          </c:extLst>
        </c:ser>
        <c:dLbls>
          <c:showLegendKey val="0"/>
          <c:showVal val="0"/>
          <c:showCatName val="0"/>
          <c:showSerName val="0"/>
          <c:showPercent val="0"/>
          <c:showBubbleSize val="0"/>
        </c:dLbls>
        <c:gapWidth val="150"/>
        <c:gapDepth val="0"/>
        <c:shape val="box"/>
        <c:axId val="197418960"/>
        <c:axId val="1"/>
        <c:axId val="0"/>
      </c:bar3DChart>
      <c:catAx>
        <c:axId val="19741896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075" b="1" i="0" u="none" strike="noStrike" baseline="0">
                <a:solidFill>
                  <a:srgbClr val="000000"/>
                </a:solidFill>
                <a:latin typeface="Times New Roman"/>
                <a:ea typeface="Times New Roman"/>
                <a:cs typeface="Times New Roman"/>
              </a:defRPr>
            </a:pPr>
            <a:endParaRPr lang="ru-RU"/>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О\с\н\о\в\н\о\й" sourceLinked="1"/>
        <c:majorTickMark val="out"/>
        <c:minorTickMark val="none"/>
        <c:tickLblPos val="nextTo"/>
        <c:spPr>
          <a:ln w="3175">
            <a:solidFill>
              <a:srgbClr val="000000"/>
            </a:solidFill>
            <a:prstDash val="solid"/>
          </a:ln>
        </c:spPr>
        <c:txPr>
          <a:bodyPr rot="0" vert="horz"/>
          <a:lstStyle/>
          <a:p>
            <a:pPr>
              <a:defRPr sz="1075" b="1" i="0" u="none" strike="noStrike" baseline="0">
                <a:solidFill>
                  <a:srgbClr val="000000"/>
                </a:solidFill>
                <a:latin typeface="Times New Roman"/>
                <a:ea typeface="Times New Roman"/>
                <a:cs typeface="Times New Roman"/>
              </a:defRPr>
            </a:pPr>
            <a:endParaRPr lang="ru-RU"/>
          </a:p>
        </c:txPr>
        <c:crossAx val="197418960"/>
        <c:crosses val="autoZero"/>
        <c:crossBetween val="between"/>
      </c:valAx>
      <c:spPr>
        <a:noFill/>
        <a:ln w="25401">
          <a:noFill/>
        </a:ln>
      </c:spPr>
    </c:plotArea>
    <c:legend>
      <c:legendPos val="r"/>
      <c:layout>
        <c:manualLayout>
          <c:xMode val="edge"/>
          <c:yMode val="edge"/>
          <c:x val="0.67361111111111116"/>
          <c:y val="0.34959349593495936"/>
          <c:w val="0.31944444444444442"/>
          <c:h val="0.30081300813008133"/>
        </c:manualLayout>
      </c:layout>
      <c:overlay val="0"/>
      <c:spPr>
        <a:noFill/>
        <a:ln w="3175">
          <a:solidFill>
            <a:srgbClr val="000000"/>
          </a:solidFill>
          <a:prstDash val="solid"/>
        </a:ln>
      </c:spPr>
      <c:txPr>
        <a:bodyPr/>
        <a:lstStyle/>
        <a:p>
          <a:pPr>
            <a:defRPr sz="985"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1075"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3091</Words>
  <Characters>17620</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20670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Kompvid2</cp:lastModifiedBy>
  <cp:revision>2</cp:revision>
  <cp:lastPrinted>2018-04-04T11:00:00Z</cp:lastPrinted>
  <dcterms:created xsi:type="dcterms:W3CDTF">2018-12-07T09:40:00Z</dcterms:created>
  <dcterms:modified xsi:type="dcterms:W3CDTF">2018-12-07T09:40:00Z</dcterms:modified>
</cp:coreProperties>
</file>