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FD" w:rsidRPr="00E83DDB" w:rsidRDefault="00F07FD0" w:rsidP="00F07FD0">
      <w:pPr>
        <w:autoSpaceDE w:val="0"/>
        <w:autoSpaceDN w:val="0"/>
        <w:adjustRightInd w:val="0"/>
      </w:pPr>
      <w:r>
        <w:t xml:space="preserve">                                                     </w:t>
      </w:r>
      <w:r w:rsidR="005645FA"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947FB8" w:rsidRPr="007E1098" w:rsidRDefault="00947FB8">
      <w:pPr>
        <w:rPr>
          <w:sz w:val="16"/>
          <w:szCs w:val="16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Default="004C2EBE">
      <w:pPr>
        <w:rPr>
          <w:szCs w:val="28"/>
          <w:lang w:val="ru-RU"/>
        </w:rPr>
      </w:pPr>
    </w:p>
    <w:p w:rsidR="00837236" w:rsidRPr="00781857" w:rsidRDefault="00837236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5C4D19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04BEF" w:rsidRDefault="00204BEF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837236" w:rsidRDefault="00837236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B62DEE" w:rsidRPr="000F1E25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F314C4">
        <w:rPr>
          <w:szCs w:val="28"/>
        </w:rPr>
        <w:t>29,</w:t>
      </w:r>
      <w:r w:rsidR="00BC6F6C" w:rsidRPr="00F314C4">
        <w:rPr>
          <w:szCs w:val="28"/>
        </w:rPr>
        <w:t xml:space="preserve"> </w:t>
      </w:r>
      <w:r w:rsidR="00F314C4" w:rsidRPr="00F314C4">
        <w:rPr>
          <w:szCs w:val="28"/>
        </w:rPr>
        <w:t xml:space="preserve">50, </w:t>
      </w:r>
      <w:r w:rsidR="00BC6F6C" w:rsidRPr="00F314C4">
        <w:rPr>
          <w:szCs w:val="28"/>
        </w:rPr>
        <w:t>59,</w:t>
      </w:r>
      <w:r w:rsidR="00E15D39" w:rsidRPr="00F314C4">
        <w:rPr>
          <w:szCs w:val="28"/>
        </w:rPr>
        <w:t xml:space="preserve"> 60 Закону</w:t>
      </w:r>
      <w:r w:rsidR="00E15D39">
        <w:rPr>
          <w:szCs w:val="28"/>
        </w:rPr>
        <w:t xml:space="preserve">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021000">
        <w:rPr>
          <w:szCs w:val="28"/>
        </w:rPr>
        <w:t>м.Чернівців</w:t>
      </w:r>
      <w:proofErr w:type="spellEnd"/>
      <w:r w:rsidRPr="00021000">
        <w:rPr>
          <w:szCs w:val="28"/>
        </w:rPr>
        <w:t xml:space="preserve">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820B8E">
        <w:rPr>
          <w:szCs w:val="28"/>
        </w:rPr>
        <w:t>комунальних</w:t>
      </w:r>
      <w:r w:rsidR="00DF22B3">
        <w:rPr>
          <w:szCs w:val="28"/>
        </w:rPr>
        <w:t xml:space="preserve">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2B53B8" w:rsidRDefault="00021000" w:rsidP="009236DA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B302D8">
        <w:rPr>
          <w:b/>
          <w:szCs w:val="28"/>
        </w:rPr>
        <w:t xml:space="preserve">    </w:t>
      </w:r>
      <w:r w:rsidR="00517CAB">
        <w:rPr>
          <w:b/>
          <w:szCs w:val="28"/>
        </w:rPr>
        <w:t xml:space="preserve">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837236" w:rsidRPr="00DB622F" w:rsidRDefault="00837236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6E2BE3" w:rsidRDefault="006E2BE3" w:rsidP="006E2BE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 w:val="16"/>
          <w:szCs w:val="16"/>
        </w:rPr>
      </w:pPr>
    </w:p>
    <w:p w:rsidR="00BF1F11" w:rsidRDefault="00004342" w:rsidP="00837236">
      <w:pPr>
        <w:spacing w:after="120"/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BC00D8" w:rsidRPr="00B91C68">
        <w:rPr>
          <w:b/>
          <w:szCs w:val="28"/>
        </w:rPr>
        <w:t>.</w:t>
      </w:r>
      <w:r w:rsidR="00BC00D8" w:rsidRPr="00B91C68">
        <w:rPr>
          <w:szCs w:val="28"/>
        </w:rPr>
        <w:t xml:space="preserve"> Надати згоду на списання з балансу комунального підприємства</w:t>
      </w:r>
      <w:r w:rsidR="007A4B84">
        <w:rPr>
          <w:szCs w:val="28"/>
        </w:rPr>
        <w:t xml:space="preserve"> міського торговельного комплексу «</w:t>
      </w:r>
      <w:proofErr w:type="spellStart"/>
      <w:r w:rsidR="007A4B84">
        <w:rPr>
          <w:szCs w:val="28"/>
        </w:rPr>
        <w:t>Калинівський</w:t>
      </w:r>
      <w:proofErr w:type="spellEnd"/>
      <w:r w:rsidR="007A4B84">
        <w:rPr>
          <w:szCs w:val="28"/>
        </w:rPr>
        <w:t xml:space="preserve"> ринок</w:t>
      </w:r>
      <w:r w:rsidR="00BC00D8" w:rsidRPr="00B91C68">
        <w:rPr>
          <w:szCs w:val="28"/>
        </w:rPr>
        <w:t>»</w:t>
      </w:r>
      <w:r w:rsidR="005C5CC7">
        <w:rPr>
          <w:szCs w:val="28"/>
        </w:rPr>
        <w:t xml:space="preserve"> </w:t>
      </w:r>
      <w:r w:rsidR="00BC00D8" w:rsidRPr="00B91C68">
        <w:rPr>
          <w:szCs w:val="28"/>
        </w:rPr>
        <w:t xml:space="preserve"> </w:t>
      </w:r>
      <w:r w:rsidR="0020405C">
        <w:rPr>
          <w:szCs w:val="28"/>
        </w:rPr>
        <w:t>нежитлов</w:t>
      </w:r>
      <w:r w:rsidR="00E632BA">
        <w:rPr>
          <w:szCs w:val="28"/>
        </w:rPr>
        <w:t xml:space="preserve">ої </w:t>
      </w:r>
      <w:r w:rsidR="0020405C">
        <w:rPr>
          <w:szCs w:val="28"/>
        </w:rPr>
        <w:t>буд</w:t>
      </w:r>
      <w:r w:rsidR="005C5CC7">
        <w:rPr>
          <w:szCs w:val="28"/>
        </w:rPr>
        <w:t>івлі</w:t>
      </w:r>
      <w:r w:rsidR="0020405C">
        <w:rPr>
          <w:szCs w:val="28"/>
        </w:rPr>
        <w:t xml:space="preserve"> </w:t>
      </w:r>
      <w:proofErr w:type="spellStart"/>
      <w:r w:rsidR="0020405C">
        <w:rPr>
          <w:szCs w:val="28"/>
        </w:rPr>
        <w:t>літ.Н</w:t>
      </w:r>
      <w:proofErr w:type="spellEnd"/>
      <w:r w:rsidR="00C81ABA">
        <w:rPr>
          <w:szCs w:val="28"/>
        </w:rPr>
        <w:t xml:space="preserve">, загальною  площею 114,2 </w:t>
      </w:r>
      <w:proofErr w:type="spellStart"/>
      <w:r w:rsidR="00C81ABA">
        <w:rPr>
          <w:szCs w:val="28"/>
        </w:rPr>
        <w:t>кв.м</w:t>
      </w:r>
      <w:proofErr w:type="spellEnd"/>
      <w:r w:rsidR="00C81ABA">
        <w:rPr>
          <w:szCs w:val="28"/>
        </w:rPr>
        <w:t>, яка знаходиться</w:t>
      </w:r>
      <w:r w:rsidR="0020405C" w:rsidRPr="0020405C">
        <w:rPr>
          <w:szCs w:val="28"/>
        </w:rPr>
        <w:t xml:space="preserve"> </w:t>
      </w:r>
      <w:r w:rsidR="00DB258D">
        <w:rPr>
          <w:szCs w:val="28"/>
        </w:rPr>
        <w:t xml:space="preserve">за адресою </w:t>
      </w:r>
      <w:proofErr w:type="spellStart"/>
      <w:r w:rsidR="00DB258D">
        <w:rPr>
          <w:szCs w:val="28"/>
        </w:rPr>
        <w:t>вул.Калинівська</w:t>
      </w:r>
      <w:proofErr w:type="spellEnd"/>
      <w:r w:rsidR="00DB258D">
        <w:rPr>
          <w:szCs w:val="28"/>
        </w:rPr>
        <w:t xml:space="preserve">,13-А  </w:t>
      </w:r>
      <w:r w:rsidR="00C81ABA">
        <w:rPr>
          <w:szCs w:val="28"/>
        </w:rPr>
        <w:t>(торговий сектор №5)</w:t>
      </w:r>
      <w:r w:rsidR="00DB258D">
        <w:rPr>
          <w:szCs w:val="28"/>
        </w:rPr>
        <w:t xml:space="preserve"> </w:t>
      </w:r>
      <w:r w:rsidR="00C81ABA">
        <w:rPr>
          <w:szCs w:val="28"/>
        </w:rPr>
        <w:t>і складається з приміщень</w:t>
      </w:r>
      <w:r w:rsidR="00BF1F11">
        <w:rPr>
          <w:szCs w:val="28"/>
        </w:rPr>
        <w:t>:</w:t>
      </w:r>
    </w:p>
    <w:p w:rsidR="00BF1F11" w:rsidRDefault="00BF1F11" w:rsidP="00837236">
      <w:pPr>
        <w:spacing w:after="120"/>
        <w:ind w:firstLine="709"/>
        <w:jc w:val="both"/>
        <w:rPr>
          <w:szCs w:val="28"/>
        </w:rPr>
      </w:pPr>
      <w:r>
        <w:rPr>
          <w:b/>
          <w:szCs w:val="28"/>
        </w:rPr>
        <w:t>1.1.</w:t>
      </w:r>
      <w:r w:rsidR="00C81ABA">
        <w:rPr>
          <w:szCs w:val="28"/>
        </w:rPr>
        <w:t xml:space="preserve"> </w:t>
      </w:r>
      <w:proofErr w:type="spellStart"/>
      <w:r>
        <w:rPr>
          <w:szCs w:val="28"/>
        </w:rPr>
        <w:t>В</w:t>
      </w:r>
      <w:r w:rsidR="0020405C">
        <w:rPr>
          <w:szCs w:val="28"/>
        </w:rPr>
        <w:t>етлабораторі</w:t>
      </w:r>
      <w:r w:rsidR="00C81ABA">
        <w:rPr>
          <w:szCs w:val="28"/>
        </w:rPr>
        <w:t>ї</w:t>
      </w:r>
      <w:proofErr w:type="spellEnd"/>
      <w:r w:rsidR="00C81ABA">
        <w:rPr>
          <w:szCs w:val="28"/>
        </w:rPr>
        <w:t>,</w:t>
      </w:r>
      <w:r>
        <w:rPr>
          <w:szCs w:val="28"/>
        </w:rPr>
        <w:t xml:space="preserve"> загальною площею 84,90</w:t>
      </w:r>
      <w:r w:rsidR="005D5D35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</w:t>
      </w:r>
      <w:r w:rsidR="0020405C">
        <w:rPr>
          <w:szCs w:val="28"/>
        </w:rPr>
        <w:t xml:space="preserve"> інв</w:t>
      </w:r>
      <w:r w:rsidR="00C81ABA">
        <w:rPr>
          <w:szCs w:val="28"/>
        </w:rPr>
        <w:t>ентарний номер 1</w:t>
      </w:r>
      <w:r w:rsidR="0020405C">
        <w:rPr>
          <w:szCs w:val="28"/>
        </w:rPr>
        <w:t>0310126</w:t>
      </w:r>
      <w:r w:rsidR="00C81ABA">
        <w:rPr>
          <w:szCs w:val="28"/>
        </w:rPr>
        <w:t xml:space="preserve">, 1998 року введення в експлуатацію, </w:t>
      </w:r>
      <w:r w:rsidR="00C81ABA" w:rsidRPr="00B91C68">
        <w:rPr>
          <w:szCs w:val="28"/>
        </w:rPr>
        <w:t>первісною</w:t>
      </w:r>
      <w:r w:rsidR="00C81ABA">
        <w:rPr>
          <w:szCs w:val="28"/>
        </w:rPr>
        <w:t xml:space="preserve"> </w:t>
      </w:r>
      <w:r w:rsidR="00C81ABA" w:rsidRPr="00B91C68">
        <w:rPr>
          <w:szCs w:val="28"/>
        </w:rPr>
        <w:t>ва</w:t>
      </w:r>
      <w:r w:rsidR="00C81ABA">
        <w:rPr>
          <w:szCs w:val="28"/>
        </w:rPr>
        <w:t xml:space="preserve">ртістю </w:t>
      </w:r>
      <w:r w:rsidR="00C81ABA" w:rsidRPr="00C81ABA">
        <w:rPr>
          <w:szCs w:val="28"/>
        </w:rPr>
        <w:t>97558</w:t>
      </w:r>
      <w:r w:rsidR="005D5D35">
        <w:rPr>
          <w:szCs w:val="28"/>
        </w:rPr>
        <w:t xml:space="preserve"> </w:t>
      </w:r>
      <w:r w:rsidR="00C81ABA">
        <w:rPr>
          <w:szCs w:val="28"/>
        </w:rPr>
        <w:t>(дев</w:t>
      </w:r>
      <w:r w:rsidR="00C81ABA" w:rsidRPr="00C81ABA">
        <w:rPr>
          <w:szCs w:val="28"/>
        </w:rPr>
        <w:t>’</w:t>
      </w:r>
      <w:r w:rsidR="00C81ABA">
        <w:rPr>
          <w:szCs w:val="28"/>
        </w:rPr>
        <w:t>яносто</w:t>
      </w:r>
      <w:r w:rsidR="00C81ABA" w:rsidRPr="00C81ABA">
        <w:rPr>
          <w:szCs w:val="28"/>
        </w:rPr>
        <w:t xml:space="preserve"> </w:t>
      </w:r>
      <w:r w:rsidR="00C81ABA">
        <w:rPr>
          <w:szCs w:val="28"/>
        </w:rPr>
        <w:t>сім</w:t>
      </w:r>
      <w:r w:rsidR="00C81ABA" w:rsidRPr="0020405C">
        <w:rPr>
          <w:szCs w:val="28"/>
        </w:rPr>
        <w:t xml:space="preserve"> </w:t>
      </w:r>
      <w:r w:rsidR="00C81ABA">
        <w:rPr>
          <w:szCs w:val="28"/>
        </w:rPr>
        <w:t>тисяч п’ятсот п’ятдесят вісім)</w:t>
      </w:r>
      <w:r w:rsidR="005D5D35">
        <w:rPr>
          <w:szCs w:val="28"/>
        </w:rPr>
        <w:t xml:space="preserve"> </w:t>
      </w:r>
      <w:r w:rsidR="00C81ABA">
        <w:rPr>
          <w:szCs w:val="28"/>
        </w:rPr>
        <w:t>грн.25коп.</w:t>
      </w:r>
      <w:r w:rsidR="00C81ABA" w:rsidRPr="00B91C68">
        <w:rPr>
          <w:szCs w:val="28"/>
        </w:rPr>
        <w:t>,</w:t>
      </w:r>
      <w:r w:rsidR="00C81ABA">
        <w:rPr>
          <w:szCs w:val="28"/>
        </w:rPr>
        <w:t xml:space="preserve"> балансовою (залишковою) вартістю 57477</w:t>
      </w:r>
      <w:r w:rsidR="005D5D35">
        <w:rPr>
          <w:szCs w:val="28"/>
        </w:rPr>
        <w:t xml:space="preserve"> </w:t>
      </w:r>
      <w:r w:rsidR="00C81ABA">
        <w:rPr>
          <w:szCs w:val="28"/>
        </w:rPr>
        <w:t>(п’ятдесят сім чотириста сімдесят сім)</w:t>
      </w:r>
      <w:r w:rsidR="005D5D35">
        <w:rPr>
          <w:szCs w:val="28"/>
        </w:rPr>
        <w:t xml:space="preserve"> </w:t>
      </w:r>
      <w:r w:rsidR="00C81ABA" w:rsidRPr="00604A1D">
        <w:rPr>
          <w:szCs w:val="28"/>
        </w:rPr>
        <w:t>грн.</w:t>
      </w:r>
      <w:r w:rsidR="00C81ABA">
        <w:rPr>
          <w:szCs w:val="28"/>
        </w:rPr>
        <w:t xml:space="preserve">69коп., </w:t>
      </w:r>
      <w:r w:rsidR="005D5D35">
        <w:rPr>
          <w:szCs w:val="28"/>
        </w:rPr>
        <w:t xml:space="preserve"> </w:t>
      </w:r>
      <w:r w:rsidR="00C81ABA">
        <w:rPr>
          <w:szCs w:val="28"/>
        </w:rPr>
        <w:t>сума зносу на 01.08.2018р.</w:t>
      </w:r>
      <w:r w:rsidR="005D5D35">
        <w:rPr>
          <w:szCs w:val="28"/>
        </w:rPr>
        <w:t xml:space="preserve"> </w:t>
      </w:r>
      <w:r w:rsidR="00C81ABA">
        <w:rPr>
          <w:szCs w:val="28"/>
        </w:rPr>
        <w:t>складає 40</w:t>
      </w:r>
      <w:r w:rsidR="00C81ABA" w:rsidRPr="00C81ABA">
        <w:rPr>
          <w:szCs w:val="28"/>
        </w:rPr>
        <w:t>080</w:t>
      </w:r>
      <w:r w:rsidR="005D5D35">
        <w:rPr>
          <w:szCs w:val="28"/>
        </w:rPr>
        <w:t xml:space="preserve"> </w:t>
      </w:r>
      <w:r w:rsidR="00C81ABA">
        <w:rPr>
          <w:szCs w:val="28"/>
        </w:rPr>
        <w:t>(сорок тисяч вісімдесят)</w:t>
      </w:r>
      <w:r w:rsidR="005D5D35">
        <w:rPr>
          <w:szCs w:val="28"/>
        </w:rPr>
        <w:t xml:space="preserve"> </w:t>
      </w:r>
      <w:r w:rsidR="00C81ABA">
        <w:rPr>
          <w:szCs w:val="28"/>
        </w:rPr>
        <w:t>грн.56коп.</w:t>
      </w:r>
      <w:r>
        <w:rPr>
          <w:szCs w:val="28"/>
        </w:rPr>
        <w:t>;</w:t>
      </w:r>
    </w:p>
    <w:p w:rsidR="00BC00D8" w:rsidRPr="00B91C68" w:rsidRDefault="00BF1F11" w:rsidP="00C81ABA">
      <w:pPr>
        <w:ind w:firstLine="708"/>
        <w:jc w:val="both"/>
        <w:rPr>
          <w:szCs w:val="28"/>
        </w:rPr>
      </w:pPr>
      <w:r>
        <w:rPr>
          <w:b/>
          <w:szCs w:val="28"/>
        </w:rPr>
        <w:t>1.2.</w:t>
      </w:r>
      <w:r w:rsidR="0020405C">
        <w:rPr>
          <w:szCs w:val="28"/>
        </w:rPr>
        <w:t xml:space="preserve"> </w:t>
      </w:r>
      <w:r>
        <w:rPr>
          <w:szCs w:val="28"/>
        </w:rPr>
        <w:t>Х</w:t>
      </w:r>
      <w:r w:rsidR="0020405C">
        <w:rPr>
          <w:szCs w:val="28"/>
        </w:rPr>
        <w:t>олодильн</w:t>
      </w:r>
      <w:r w:rsidR="00C81ABA">
        <w:rPr>
          <w:szCs w:val="28"/>
        </w:rPr>
        <w:t>ої</w:t>
      </w:r>
      <w:r w:rsidR="0020405C">
        <w:rPr>
          <w:szCs w:val="28"/>
        </w:rPr>
        <w:t xml:space="preserve"> </w:t>
      </w:r>
      <w:r w:rsidR="005C5CC7">
        <w:rPr>
          <w:szCs w:val="28"/>
        </w:rPr>
        <w:t xml:space="preserve"> </w:t>
      </w:r>
      <w:r w:rsidR="0020405C">
        <w:rPr>
          <w:szCs w:val="28"/>
        </w:rPr>
        <w:t>камер</w:t>
      </w:r>
      <w:r w:rsidR="00C81ABA">
        <w:rPr>
          <w:szCs w:val="28"/>
        </w:rPr>
        <w:t>и,</w:t>
      </w:r>
      <w:r w:rsidR="000456A0">
        <w:rPr>
          <w:szCs w:val="28"/>
        </w:rPr>
        <w:t xml:space="preserve"> </w:t>
      </w:r>
      <w:r>
        <w:rPr>
          <w:szCs w:val="28"/>
        </w:rPr>
        <w:t>загальною площею 29,30</w:t>
      </w:r>
      <w:r w:rsidR="00A608CE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,</w:t>
      </w:r>
      <w:r w:rsidR="00C81ABA">
        <w:rPr>
          <w:szCs w:val="28"/>
        </w:rPr>
        <w:t xml:space="preserve"> інвентарний</w:t>
      </w:r>
      <w:r w:rsidR="000456A0">
        <w:rPr>
          <w:szCs w:val="28"/>
        </w:rPr>
        <w:t xml:space="preserve"> </w:t>
      </w:r>
      <w:r w:rsidR="00C81ABA">
        <w:rPr>
          <w:szCs w:val="28"/>
        </w:rPr>
        <w:t xml:space="preserve">номер </w:t>
      </w:r>
      <w:r w:rsidR="0020405C">
        <w:rPr>
          <w:szCs w:val="28"/>
        </w:rPr>
        <w:t xml:space="preserve">10310152, </w:t>
      </w:r>
      <w:r>
        <w:rPr>
          <w:szCs w:val="28"/>
        </w:rPr>
        <w:t>1999 року введення в експлуатацію,</w:t>
      </w:r>
      <w:r w:rsidR="00BC00D8" w:rsidRPr="00B91C68">
        <w:rPr>
          <w:szCs w:val="28"/>
        </w:rPr>
        <w:t xml:space="preserve"> </w:t>
      </w:r>
      <w:r w:rsidR="0020405C" w:rsidRPr="00B91C68">
        <w:rPr>
          <w:szCs w:val="28"/>
        </w:rPr>
        <w:t>первісною</w:t>
      </w:r>
      <w:r w:rsidR="0020405C">
        <w:rPr>
          <w:szCs w:val="28"/>
        </w:rPr>
        <w:t xml:space="preserve"> </w:t>
      </w:r>
      <w:r w:rsidR="0020405C" w:rsidRPr="00B91C68">
        <w:rPr>
          <w:szCs w:val="28"/>
        </w:rPr>
        <w:t>ва</w:t>
      </w:r>
      <w:r w:rsidR="0020405C">
        <w:rPr>
          <w:szCs w:val="28"/>
        </w:rPr>
        <w:t xml:space="preserve">ртістю </w:t>
      </w:r>
      <w:r w:rsidRPr="00BF1F11">
        <w:rPr>
          <w:szCs w:val="28"/>
        </w:rPr>
        <w:t>18373</w:t>
      </w:r>
      <w:r w:rsidR="005D5D35">
        <w:rPr>
          <w:szCs w:val="28"/>
        </w:rPr>
        <w:t xml:space="preserve"> </w:t>
      </w:r>
      <w:r w:rsidR="0020405C">
        <w:rPr>
          <w:szCs w:val="28"/>
        </w:rPr>
        <w:t>(</w:t>
      </w:r>
      <w:r>
        <w:rPr>
          <w:szCs w:val="28"/>
        </w:rPr>
        <w:t>вісімнадцять</w:t>
      </w:r>
      <w:r w:rsidR="0020405C" w:rsidRPr="0020405C">
        <w:rPr>
          <w:szCs w:val="28"/>
        </w:rPr>
        <w:t xml:space="preserve"> </w:t>
      </w:r>
      <w:r w:rsidR="0020405C">
        <w:rPr>
          <w:szCs w:val="28"/>
        </w:rPr>
        <w:t xml:space="preserve">тисяч </w:t>
      </w:r>
      <w:r>
        <w:rPr>
          <w:szCs w:val="28"/>
        </w:rPr>
        <w:t>триста сімдесят три)</w:t>
      </w:r>
      <w:r w:rsidR="005D5D35">
        <w:rPr>
          <w:szCs w:val="28"/>
        </w:rPr>
        <w:t xml:space="preserve"> </w:t>
      </w:r>
      <w:r>
        <w:rPr>
          <w:szCs w:val="28"/>
        </w:rPr>
        <w:t>грн.</w:t>
      </w:r>
      <w:r w:rsidR="0020405C" w:rsidRPr="00B91C68">
        <w:rPr>
          <w:szCs w:val="28"/>
        </w:rPr>
        <w:t>,</w:t>
      </w:r>
      <w:r w:rsidR="0020405C">
        <w:rPr>
          <w:szCs w:val="28"/>
        </w:rPr>
        <w:t xml:space="preserve"> балансовою (залишковою) вартістю </w:t>
      </w:r>
      <w:r w:rsidR="00640D68" w:rsidRPr="00640D68">
        <w:rPr>
          <w:szCs w:val="28"/>
        </w:rPr>
        <w:t>2399</w:t>
      </w:r>
      <w:r w:rsidR="005D5D35">
        <w:rPr>
          <w:szCs w:val="28"/>
        </w:rPr>
        <w:t xml:space="preserve"> </w:t>
      </w:r>
      <w:r w:rsidR="0020405C">
        <w:rPr>
          <w:szCs w:val="28"/>
        </w:rPr>
        <w:t>(</w:t>
      </w:r>
      <w:r w:rsidR="00640D68">
        <w:rPr>
          <w:szCs w:val="28"/>
        </w:rPr>
        <w:t>дві</w:t>
      </w:r>
      <w:r w:rsidR="0020405C">
        <w:rPr>
          <w:szCs w:val="28"/>
        </w:rPr>
        <w:t xml:space="preserve"> тисяч</w:t>
      </w:r>
      <w:r w:rsidR="00640D68">
        <w:rPr>
          <w:szCs w:val="28"/>
        </w:rPr>
        <w:t>і</w:t>
      </w:r>
      <w:r w:rsidR="0020405C">
        <w:rPr>
          <w:szCs w:val="28"/>
        </w:rPr>
        <w:t xml:space="preserve"> </w:t>
      </w:r>
      <w:r w:rsidR="00640D68">
        <w:rPr>
          <w:szCs w:val="28"/>
        </w:rPr>
        <w:t>триста дев’яносто дев</w:t>
      </w:r>
      <w:r w:rsidR="00640D68" w:rsidRPr="00640D68">
        <w:rPr>
          <w:szCs w:val="28"/>
        </w:rPr>
        <w:t>’</w:t>
      </w:r>
      <w:r w:rsidR="00640D68">
        <w:rPr>
          <w:szCs w:val="28"/>
        </w:rPr>
        <w:t>ять</w:t>
      </w:r>
      <w:r w:rsidR="0020405C">
        <w:rPr>
          <w:szCs w:val="28"/>
        </w:rPr>
        <w:t>)</w:t>
      </w:r>
      <w:r w:rsidR="005D5D35">
        <w:rPr>
          <w:szCs w:val="28"/>
        </w:rPr>
        <w:t xml:space="preserve"> </w:t>
      </w:r>
      <w:r w:rsidR="0020405C" w:rsidRPr="00604A1D">
        <w:rPr>
          <w:szCs w:val="28"/>
        </w:rPr>
        <w:t>грн.</w:t>
      </w:r>
      <w:r w:rsidR="00640D68">
        <w:rPr>
          <w:szCs w:val="28"/>
        </w:rPr>
        <w:t>25</w:t>
      </w:r>
      <w:r w:rsidR="000456A0">
        <w:rPr>
          <w:szCs w:val="28"/>
        </w:rPr>
        <w:t>коп., сума зносу на 01</w:t>
      </w:r>
      <w:r w:rsidR="0020405C">
        <w:rPr>
          <w:szCs w:val="28"/>
        </w:rPr>
        <w:t>.</w:t>
      </w:r>
      <w:r w:rsidR="000456A0">
        <w:rPr>
          <w:szCs w:val="28"/>
        </w:rPr>
        <w:t>08</w:t>
      </w:r>
      <w:r w:rsidR="0020405C">
        <w:rPr>
          <w:szCs w:val="28"/>
        </w:rPr>
        <w:t>.2018р.</w:t>
      </w:r>
      <w:r w:rsidR="00FB0E6D">
        <w:rPr>
          <w:szCs w:val="28"/>
        </w:rPr>
        <w:t xml:space="preserve"> </w:t>
      </w:r>
      <w:r w:rsidR="0020405C">
        <w:rPr>
          <w:szCs w:val="28"/>
        </w:rPr>
        <w:t xml:space="preserve">складає </w:t>
      </w:r>
      <w:r w:rsidR="00640D68" w:rsidRPr="00640D68">
        <w:rPr>
          <w:szCs w:val="28"/>
        </w:rPr>
        <w:t>15973</w:t>
      </w:r>
      <w:r w:rsidR="005D5D35">
        <w:rPr>
          <w:szCs w:val="28"/>
        </w:rPr>
        <w:t xml:space="preserve"> </w:t>
      </w:r>
      <w:r w:rsidR="0020405C">
        <w:rPr>
          <w:szCs w:val="28"/>
        </w:rPr>
        <w:t>(</w:t>
      </w:r>
      <w:r w:rsidR="000456A0">
        <w:rPr>
          <w:szCs w:val="28"/>
        </w:rPr>
        <w:t>п’ят</w:t>
      </w:r>
      <w:r w:rsidR="00640D68">
        <w:rPr>
          <w:szCs w:val="28"/>
        </w:rPr>
        <w:t xml:space="preserve">надцять </w:t>
      </w:r>
      <w:r w:rsidR="0020405C">
        <w:rPr>
          <w:szCs w:val="28"/>
        </w:rPr>
        <w:t>тисяч</w:t>
      </w:r>
      <w:r w:rsidR="000456A0">
        <w:rPr>
          <w:szCs w:val="28"/>
        </w:rPr>
        <w:t xml:space="preserve"> </w:t>
      </w:r>
      <w:r w:rsidR="00640D68">
        <w:rPr>
          <w:szCs w:val="28"/>
        </w:rPr>
        <w:t>дев’ятсот сімдесят три</w:t>
      </w:r>
      <w:r w:rsidR="0020405C">
        <w:rPr>
          <w:szCs w:val="28"/>
        </w:rPr>
        <w:t>)</w:t>
      </w:r>
      <w:r w:rsidR="005D5D35">
        <w:rPr>
          <w:szCs w:val="28"/>
        </w:rPr>
        <w:t xml:space="preserve"> </w:t>
      </w:r>
      <w:r w:rsidR="000456A0">
        <w:rPr>
          <w:szCs w:val="28"/>
        </w:rPr>
        <w:t>грн.</w:t>
      </w:r>
      <w:r w:rsidR="00640D68">
        <w:rPr>
          <w:szCs w:val="28"/>
        </w:rPr>
        <w:t>75</w:t>
      </w:r>
      <w:r w:rsidR="0020405C">
        <w:rPr>
          <w:szCs w:val="28"/>
        </w:rPr>
        <w:t>коп.</w:t>
      </w:r>
      <w:r w:rsidR="000456A0">
        <w:rPr>
          <w:szCs w:val="28"/>
        </w:rPr>
        <w:t xml:space="preserve"> </w:t>
      </w:r>
    </w:p>
    <w:p w:rsidR="00004342" w:rsidRPr="00837236" w:rsidRDefault="00004342" w:rsidP="00004342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b/>
          <w:szCs w:val="28"/>
        </w:rPr>
      </w:pPr>
    </w:p>
    <w:p w:rsidR="000456A0" w:rsidRDefault="00004342" w:rsidP="00354FC8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8112BC">
        <w:rPr>
          <w:b/>
          <w:szCs w:val="28"/>
        </w:rPr>
        <w:t>.</w:t>
      </w:r>
      <w:r>
        <w:rPr>
          <w:szCs w:val="28"/>
        </w:rPr>
        <w:t xml:space="preserve"> </w:t>
      </w:r>
      <w:r w:rsidR="000456A0" w:rsidRPr="00B91C68">
        <w:rPr>
          <w:szCs w:val="28"/>
        </w:rPr>
        <w:t xml:space="preserve">Надати згоду на списання з балансу </w:t>
      </w:r>
      <w:r w:rsidR="000456A0">
        <w:rPr>
          <w:szCs w:val="28"/>
        </w:rPr>
        <w:t xml:space="preserve">міського </w:t>
      </w:r>
      <w:r w:rsidR="000456A0" w:rsidRPr="00B91C68">
        <w:rPr>
          <w:szCs w:val="28"/>
        </w:rPr>
        <w:t>комунального підприємства «</w:t>
      </w:r>
      <w:proofErr w:type="spellStart"/>
      <w:r w:rsidR="000456A0" w:rsidRPr="00B91C68">
        <w:rPr>
          <w:szCs w:val="28"/>
        </w:rPr>
        <w:t>Че</w:t>
      </w:r>
      <w:r w:rsidR="000456A0">
        <w:rPr>
          <w:szCs w:val="28"/>
        </w:rPr>
        <w:t>рнівціспецкомунтранс</w:t>
      </w:r>
      <w:proofErr w:type="spellEnd"/>
      <w:r w:rsidR="000456A0" w:rsidRPr="00B91C68">
        <w:rPr>
          <w:szCs w:val="28"/>
        </w:rPr>
        <w:t xml:space="preserve">» </w:t>
      </w:r>
      <w:r w:rsidR="005D5D35">
        <w:rPr>
          <w:szCs w:val="28"/>
        </w:rPr>
        <w:t>пластикових контейнерів,</w:t>
      </w:r>
      <w:r w:rsidR="000456A0" w:rsidRPr="00B91C68">
        <w:rPr>
          <w:szCs w:val="28"/>
        </w:rPr>
        <w:t xml:space="preserve"> які  </w:t>
      </w:r>
      <w:r w:rsidR="005D5D35">
        <w:rPr>
          <w:szCs w:val="28"/>
        </w:rPr>
        <w:t>з</w:t>
      </w:r>
      <w:r w:rsidR="00A00E70">
        <w:rPr>
          <w:szCs w:val="28"/>
        </w:rPr>
        <w:t>нищені</w:t>
      </w:r>
      <w:r w:rsidR="005D5D35">
        <w:rPr>
          <w:szCs w:val="28"/>
        </w:rPr>
        <w:t xml:space="preserve"> внаслідок пожежі</w:t>
      </w:r>
      <w:r w:rsidR="00203D88">
        <w:rPr>
          <w:szCs w:val="28"/>
        </w:rPr>
        <w:t xml:space="preserve"> згідно з додатк</w:t>
      </w:r>
      <w:r w:rsidR="0052122E">
        <w:rPr>
          <w:szCs w:val="28"/>
        </w:rPr>
        <w:t>ом</w:t>
      </w:r>
      <w:r w:rsidR="00203D88">
        <w:rPr>
          <w:szCs w:val="28"/>
        </w:rPr>
        <w:t>.</w:t>
      </w:r>
    </w:p>
    <w:p w:rsidR="00326CD0" w:rsidRPr="00837236" w:rsidRDefault="00326CD0" w:rsidP="000456A0">
      <w:pPr>
        <w:ind w:firstLine="720"/>
        <w:jc w:val="both"/>
        <w:rPr>
          <w:szCs w:val="28"/>
        </w:rPr>
      </w:pPr>
    </w:p>
    <w:p w:rsidR="00BA0416" w:rsidRDefault="007A4B84" w:rsidP="00837236">
      <w:pPr>
        <w:pStyle w:val="aa"/>
        <w:tabs>
          <w:tab w:val="left" w:pos="0"/>
          <w:tab w:val="left" w:pos="720"/>
          <w:tab w:val="left" w:pos="2835"/>
          <w:tab w:val="left" w:pos="4928"/>
        </w:tabs>
        <w:ind w:left="0" w:right="-96"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BA0416" w:rsidRPr="00EF781E">
        <w:rPr>
          <w:b/>
          <w:szCs w:val="28"/>
        </w:rPr>
        <w:t>.</w:t>
      </w:r>
      <w:r w:rsidR="00BA0416" w:rsidRPr="00EF781E">
        <w:rPr>
          <w:szCs w:val="28"/>
        </w:rPr>
        <w:t xml:space="preserve"> Суб’єктам господарювання</w:t>
      </w:r>
      <w:r w:rsidR="00BA0416">
        <w:rPr>
          <w:szCs w:val="28"/>
        </w:rPr>
        <w:t>:</w:t>
      </w:r>
    </w:p>
    <w:p w:rsidR="004A169A" w:rsidRDefault="007A4B84" w:rsidP="007F1A9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BA0416" w:rsidRPr="00021000">
        <w:rPr>
          <w:b/>
          <w:szCs w:val="28"/>
        </w:rPr>
        <w:t xml:space="preserve">.1. </w:t>
      </w:r>
      <w:r w:rsidR="00BA0416" w:rsidRPr="00021000">
        <w:rPr>
          <w:szCs w:val="28"/>
        </w:rPr>
        <w:t>Вказаним в пункт</w:t>
      </w:r>
      <w:r w:rsidR="00203D88">
        <w:rPr>
          <w:szCs w:val="28"/>
        </w:rPr>
        <w:t>і</w:t>
      </w:r>
      <w:r w:rsidR="00BA0416" w:rsidRPr="00021000">
        <w:rPr>
          <w:szCs w:val="28"/>
        </w:rPr>
        <w:t xml:space="preserve"> 1</w:t>
      </w:r>
      <w:r w:rsidR="007F1A94">
        <w:rPr>
          <w:szCs w:val="28"/>
        </w:rPr>
        <w:t xml:space="preserve"> </w:t>
      </w:r>
      <w:r w:rsidR="00BA0416" w:rsidRPr="00021000">
        <w:rPr>
          <w:szCs w:val="28"/>
        </w:rPr>
        <w:t>рішення, в місячний термін після прийняття рішення, основні засоби, які підлягають списанню, розібрати. Матеріали</w:t>
      </w:r>
      <w:r w:rsidR="00A32118">
        <w:rPr>
          <w:szCs w:val="28"/>
        </w:rPr>
        <w:t xml:space="preserve">, </w:t>
      </w:r>
      <w:r w:rsidR="00BA0416"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 w:rsidR="009D508D">
        <w:rPr>
          <w:szCs w:val="28"/>
        </w:rPr>
        <w:t>,</w:t>
      </w:r>
      <w:r w:rsidR="004A169A">
        <w:rPr>
          <w:szCs w:val="28"/>
        </w:rPr>
        <w:t xml:space="preserve"> </w:t>
      </w:r>
      <w:r w:rsidR="00BA0416" w:rsidRPr="00021000">
        <w:rPr>
          <w:szCs w:val="28"/>
        </w:rPr>
        <w:t xml:space="preserve"> інші – утилізувати.</w:t>
      </w:r>
    </w:p>
    <w:p w:rsidR="00FD185E" w:rsidRPr="00021000" w:rsidRDefault="00FD185E" w:rsidP="007F1A94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162AAA" w:rsidRDefault="007A4B84" w:rsidP="00667CC9">
      <w:pPr>
        <w:tabs>
          <w:tab w:val="left" w:pos="0"/>
        </w:tabs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B91C68" w:rsidRPr="00980D5A">
        <w:rPr>
          <w:b/>
          <w:szCs w:val="28"/>
        </w:rPr>
        <w:t xml:space="preserve">.2. </w:t>
      </w:r>
      <w:r w:rsidR="00B91C68" w:rsidRPr="00980D5A">
        <w:rPr>
          <w:szCs w:val="28"/>
        </w:rPr>
        <w:t>Надати департаменту економіки міської ради звіт про списання майна комунальної власності</w:t>
      </w:r>
      <w:r w:rsidR="006C596F">
        <w:rPr>
          <w:sz w:val="25"/>
          <w:szCs w:val="25"/>
        </w:rPr>
        <w:t>.</w:t>
      </w:r>
      <w:r w:rsidR="007F1A94">
        <w:rPr>
          <w:sz w:val="25"/>
          <w:szCs w:val="25"/>
        </w:rPr>
        <w:t xml:space="preserve"> </w:t>
      </w:r>
      <w:r w:rsidR="006C596F">
        <w:rPr>
          <w:sz w:val="25"/>
          <w:szCs w:val="25"/>
        </w:rPr>
        <w:t xml:space="preserve"> </w:t>
      </w:r>
      <w:r w:rsidR="006C596F" w:rsidRPr="006C596F">
        <w:rPr>
          <w:szCs w:val="28"/>
        </w:rPr>
        <w:t>Належним чином завірені копії документів про оприбуткування придатних матеріалів</w:t>
      </w:r>
      <w:r w:rsidR="00667CC9">
        <w:rPr>
          <w:szCs w:val="28"/>
        </w:rPr>
        <w:t>.</w:t>
      </w:r>
    </w:p>
    <w:p w:rsidR="00667CC9" w:rsidRDefault="00667CC9" w:rsidP="00667CC9">
      <w:pPr>
        <w:tabs>
          <w:tab w:val="left" w:pos="0"/>
        </w:tabs>
        <w:ind w:firstLine="567"/>
        <w:jc w:val="both"/>
        <w:rPr>
          <w:b/>
          <w:color w:val="C00000"/>
          <w:sz w:val="24"/>
        </w:rPr>
      </w:pPr>
    </w:p>
    <w:p w:rsidR="00A3175E" w:rsidRPr="00021000" w:rsidRDefault="007A4B84" w:rsidP="009236DA">
      <w:pPr>
        <w:pStyle w:val="aa"/>
        <w:tabs>
          <w:tab w:val="left" w:pos="0"/>
          <w:tab w:val="left" w:pos="720"/>
        </w:tabs>
        <w:spacing w:after="0"/>
        <w:ind w:left="0" w:right="-96" w:firstLine="709"/>
        <w:jc w:val="both"/>
        <w:rPr>
          <w:szCs w:val="28"/>
        </w:rPr>
      </w:pPr>
      <w:r>
        <w:rPr>
          <w:b/>
          <w:szCs w:val="28"/>
        </w:rPr>
        <w:t>4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FC00B9">
        <w:rPr>
          <w:szCs w:val="28"/>
        </w:rPr>
        <w:t xml:space="preserve"> </w:t>
      </w:r>
      <w:proofErr w:type="spellStart"/>
      <w:r w:rsidR="00A3175E" w:rsidRPr="00021000">
        <w:rPr>
          <w:szCs w:val="28"/>
        </w:rPr>
        <w:t>веб</w:t>
      </w:r>
      <w:proofErr w:type="spellEnd"/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FC00B9">
        <w:rPr>
          <w:b/>
          <w:szCs w:val="28"/>
        </w:rPr>
        <w:t xml:space="preserve"> </w:t>
      </w:r>
      <w:r w:rsidR="009236DA">
        <w:rPr>
          <w:b/>
          <w:szCs w:val="28"/>
        </w:rPr>
        <w:t xml:space="preserve"> </w:t>
      </w:r>
      <w:r w:rsidR="007A4B84"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2A49FD">
        <w:rPr>
          <w:szCs w:val="28"/>
        </w:rPr>
        <w:t xml:space="preserve"> депа</w:t>
      </w:r>
      <w:r w:rsidR="009F0394">
        <w:rPr>
          <w:szCs w:val="28"/>
        </w:rPr>
        <w:t>ртамент</w:t>
      </w:r>
      <w:r w:rsidR="004678D9">
        <w:rPr>
          <w:szCs w:val="28"/>
        </w:rPr>
        <w:t>и</w:t>
      </w:r>
      <w:r w:rsidR="008D2CAA" w:rsidRPr="008D2CAA">
        <w:rPr>
          <w:szCs w:val="28"/>
        </w:rPr>
        <w:t xml:space="preserve"> </w:t>
      </w:r>
      <w:r w:rsidR="00753D56">
        <w:rPr>
          <w:szCs w:val="28"/>
        </w:rPr>
        <w:t>міської ради</w:t>
      </w:r>
      <w:r w:rsidR="004678D9">
        <w:rPr>
          <w:szCs w:val="28"/>
        </w:rPr>
        <w:t>: економіки</w:t>
      </w:r>
      <w:r w:rsidR="008D2CAA">
        <w:rPr>
          <w:szCs w:val="28"/>
        </w:rPr>
        <w:t xml:space="preserve"> та</w:t>
      </w:r>
      <w:r w:rsidR="00FA45A3">
        <w:rPr>
          <w:szCs w:val="28"/>
        </w:rPr>
        <w:t xml:space="preserve"> </w:t>
      </w:r>
      <w:r w:rsidR="00753D56">
        <w:rPr>
          <w:szCs w:val="28"/>
        </w:rPr>
        <w:t xml:space="preserve"> </w:t>
      </w:r>
      <w:r w:rsidR="00FA45A3" w:rsidRPr="00EF781E">
        <w:rPr>
          <w:szCs w:val="28"/>
        </w:rPr>
        <w:t>жи</w:t>
      </w:r>
      <w:r w:rsidR="00FA45A3">
        <w:rPr>
          <w:szCs w:val="28"/>
        </w:rPr>
        <w:t>тлово-комунального господарства</w:t>
      </w:r>
      <w:r w:rsidR="004678D9">
        <w:rPr>
          <w:szCs w:val="28"/>
        </w:rPr>
        <w:t>.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1508A8" w:rsidRDefault="001508A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0F1E25" w:rsidP="00517CAB">
      <w:pPr>
        <w:ind w:right="-87"/>
        <w:jc w:val="both"/>
        <w:rPr>
          <w:b/>
          <w:lang w:val="ru-RU"/>
        </w:rPr>
      </w:pPr>
      <w:r>
        <w:rPr>
          <w:b/>
        </w:rPr>
        <w:t xml:space="preserve">Секретар </w:t>
      </w:r>
      <w:r w:rsidR="004F5E4E">
        <w:rPr>
          <w:b/>
        </w:rPr>
        <w:t xml:space="preserve">Чернівецької </w:t>
      </w:r>
      <w:r>
        <w:rPr>
          <w:b/>
        </w:rPr>
        <w:t>міської ради</w:t>
      </w:r>
      <w:r w:rsidR="00517CAB">
        <w:rPr>
          <w:b/>
        </w:rPr>
        <w:t xml:space="preserve">  </w:t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 w:rsidRPr="00E83DDB">
        <w:rPr>
          <w:b/>
        </w:rPr>
        <w:tab/>
      </w:r>
      <w:r w:rsidR="00517CAB">
        <w:rPr>
          <w:b/>
        </w:rPr>
        <w:t xml:space="preserve">      </w:t>
      </w:r>
      <w:r w:rsidR="00517CAB">
        <w:rPr>
          <w:b/>
        </w:rPr>
        <w:tab/>
      </w:r>
      <w:r w:rsidR="00517CAB">
        <w:rPr>
          <w:b/>
        </w:rPr>
        <w:tab/>
      </w:r>
      <w:r w:rsidR="006159C9">
        <w:rPr>
          <w:b/>
        </w:rPr>
        <w:t xml:space="preserve">  </w:t>
      </w:r>
      <w:r w:rsidR="004F5E4E">
        <w:rPr>
          <w:b/>
        </w:rPr>
        <w:t>В.</w:t>
      </w:r>
      <w:proofErr w:type="spellStart"/>
      <w:r w:rsidR="004F5E4E">
        <w:rPr>
          <w:b/>
        </w:rPr>
        <w:t>Продан</w:t>
      </w:r>
      <w:proofErr w:type="spellEnd"/>
    </w:p>
    <w:p w:rsidR="007E1098" w:rsidRDefault="007E1098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0F1E25" w:rsidRDefault="000F1E25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7F1A94" w:rsidRDefault="007F1A94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7F1A94" w:rsidRDefault="007F1A94" w:rsidP="00D20528">
      <w:pPr>
        <w:ind w:right="-87"/>
        <w:jc w:val="both"/>
        <w:rPr>
          <w:b/>
          <w:sz w:val="24"/>
        </w:rPr>
      </w:pPr>
    </w:p>
    <w:p w:rsidR="00837236" w:rsidRDefault="00837236" w:rsidP="00D20528">
      <w:pPr>
        <w:ind w:right="-87"/>
        <w:jc w:val="both"/>
        <w:rPr>
          <w:b/>
          <w:sz w:val="24"/>
        </w:rPr>
      </w:pPr>
    </w:p>
    <w:p w:rsidR="007F1A94" w:rsidRDefault="007F1A94" w:rsidP="00D20528">
      <w:pPr>
        <w:ind w:right="-87"/>
        <w:jc w:val="both"/>
        <w:rPr>
          <w:b/>
          <w:sz w:val="24"/>
        </w:rPr>
      </w:pPr>
    </w:p>
    <w:p w:rsidR="001508A8" w:rsidRDefault="001508A8" w:rsidP="00D20528">
      <w:pPr>
        <w:ind w:right="-87"/>
        <w:jc w:val="both"/>
        <w:rPr>
          <w:b/>
          <w:sz w:val="24"/>
        </w:rPr>
      </w:pPr>
    </w:p>
    <w:p w:rsidR="00E46027" w:rsidRDefault="00E46027" w:rsidP="00E46027">
      <w:pPr>
        <w:pStyle w:val="a5"/>
        <w:tabs>
          <w:tab w:val="left" w:pos="5940"/>
        </w:tabs>
        <w:rPr>
          <w:b/>
          <w:szCs w:val="28"/>
        </w:rPr>
      </w:pPr>
      <w:r>
        <w:rPr>
          <w:b/>
          <w:szCs w:val="28"/>
        </w:rPr>
        <w:lastRenderedPageBreak/>
        <w:tab/>
        <w:t xml:space="preserve">Додаток </w:t>
      </w:r>
    </w:p>
    <w:p w:rsidR="00E46027" w:rsidRDefault="00E46027" w:rsidP="00E46027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E46027" w:rsidRDefault="00E46027" w:rsidP="00E46027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E46027" w:rsidRDefault="00E46027" w:rsidP="00E46027">
      <w:pPr>
        <w:pStyle w:val="a5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  <w:u w:val="single"/>
        </w:rPr>
        <w:t xml:space="preserve"> </w:t>
      </w:r>
      <w:r>
        <w:rPr>
          <w:b/>
          <w:u w:val="single"/>
        </w:rPr>
        <w:softHyphen/>
      </w:r>
      <w:r>
        <w:rPr>
          <w:b/>
          <w:u w:val="single"/>
        </w:rPr>
        <w:softHyphen/>
        <w:t>________</w:t>
      </w:r>
      <w:r>
        <w:rPr>
          <w:b/>
        </w:rPr>
        <w:t xml:space="preserve"> №  </w:t>
      </w:r>
      <w:r>
        <w:rPr>
          <w:b/>
          <w:u w:val="single"/>
        </w:rPr>
        <w:t>____          _</w:t>
      </w: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Default="00E46027" w:rsidP="00E46027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E46027" w:rsidRPr="00116956" w:rsidRDefault="00E46027" w:rsidP="00E46027">
      <w:pPr>
        <w:jc w:val="center"/>
        <w:rPr>
          <w:b/>
          <w:szCs w:val="28"/>
        </w:rPr>
      </w:pPr>
      <w:r w:rsidRPr="00116956">
        <w:rPr>
          <w:b/>
          <w:szCs w:val="28"/>
        </w:rPr>
        <w:t>Перелік</w:t>
      </w:r>
    </w:p>
    <w:p w:rsidR="00E46027" w:rsidRPr="00116956" w:rsidRDefault="00E46027" w:rsidP="00E46027">
      <w:pPr>
        <w:jc w:val="center"/>
        <w:rPr>
          <w:b/>
          <w:szCs w:val="28"/>
        </w:rPr>
      </w:pPr>
      <w:r w:rsidRPr="00116956">
        <w:rPr>
          <w:b/>
          <w:szCs w:val="28"/>
        </w:rPr>
        <w:t xml:space="preserve">основних засобів, які підлягають списанню з балансу </w:t>
      </w:r>
    </w:p>
    <w:p w:rsidR="00E46027" w:rsidRPr="00116956" w:rsidRDefault="00E46027" w:rsidP="00E46027">
      <w:pPr>
        <w:jc w:val="center"/>
        <w:rPr>
          <w:b/>
          <w:szCs w:val="28"/>
        </w:rPr>
      </w:pPr>
      <w:r w:rsidRPr="00116956">
        <w:rPr>
          <w:b/>
          <w:szCs w:val="28"/>
        </w:rPr>
        <w:t>міського комунального підприємства «</w:t>
      </w:r>
      <w:proofErr w:type="spellStart"/>
      <w:r w:rsidRPr="00116956">
        <w:rPr>
          <w:b/>
          <w:szCs w:val="28"/>
        </w:rPr>
        <w:t>Чернівціспецкомунтранс</w:t>
      </w:r>
      <w:proofErr w:type="spellEnd"/>
      <w:r w:rsidRPr="00116956">
        <w:rPr>
          <w:b/>
          <w:szCs w:val="28"/>
        </w:rPr>
        <w:t xml:space="preserve">» </w:t>
      </w:r>
    </w:p>
    <w:p w:rsidR="00E46027" w:rsidRDefault="00E4602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116956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tbl>
      <w:tblPr>
        <w:tblpPr w:leftFromText="180" w:rightFromText="180" w:vertAnchor="text" w:horzAnchor="margin" w:tblpX="-70" w:tblpY="65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275"/>
        <w:gridCol w:w="1418"/>
        <w:gridCol w:w="1417"/>
        <w:gridCol w:w="1134"/>
        <w:gridCol w:w="1276"/>
      </w:tblGrid>
      <w:tr w:rsidR="00116956" w:rsidRPr="00F876DC" w:rsidTr="00116956">
        <w:trPr>
          <w:trHeight w:val="615"/>
        </w:trPr>
        <w:tc>
          <w:tcPr>
            <w:tcW w:w="567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№</w:t>
            </w:r>
          </w:p>
          <w:p w:rsidR="00116956" w:rsidRPr="00F876DC" w:rsidRDefault="00116956" w:rsidP="00116956">
            <w:pPr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Найменування основного засобу</w:t>
            </w:r>
          </w:p>
        </w:tc>
        <w:tc>
          <w:tcPr>
            <w:tcW w:w="1275" w:type="dxa"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876DC">
              <w:rPr>
                <w:b/>
                <w:sz w:val="22"/>
                <w:szCs w:val="22"/>
              </w:rPr>
              <w:t>Інвентар-ний</w:t>
            </w:r>
            <w:proofErr w:type="spellEnd"/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Рік випуску</w:t>
            </w:r>
            <w:r>
              <w:rPr>
                <w:b/>
                <w:sz w:val="22"/>
                <w:szCs w:val="22"/>
              </w:rPr>
              <w:t xml:space="preserve">/введення в </w:t>
            </w:r>
            <w:proofErr w:type="spellStart"/>
            <w:r>
              <w:rPr>
                <w:b/>
                <w:sz w:val="22"/>
                <w:szCs w:val="22"/>
              </w:rPr>
              <w:t>експлуа-тацію</w:t>
            </w:r>
            <w:proofErr w:type="spellEnd"/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16956" w:rsidRPr="00C601A1" w:rsidRDefault="00116956" w:rsidP="00116956">
            <w:pPr>
              <w:jc w:val="center"/>
              <w:rPr>
                <w:b/>
                <w:sz w:val="20"/>
                <w:szCs w:val="20"/>
              </w:rPr>
            </w:pPr>
            <w:r w:rsidRPr="00F876DC">
              <w:rPr>
                <w:b/>
                <w:sz w:val="22"/>
                <w:szCs w:val="22"/>
              </w:rPr>
              <w:t>Первісна (</w:t>
            </w:r>
            <w:proofErr w:type="spellStart"/>
            <w:r w:rsidRPr="00C601A1">
              <w:rPr>
                <w:b/>
                <w:sz w:val="20"/>
                <w:szCs w:val="20"/>
              </w:rPr>
              <w:t>переоціне-на</w:t>
            </w:r>
            <w:proofErr w:type="spellEnd"/>
            <w:r w:rsidRPr="00C601A1">
              <w:rPr>
                <w:b/>
                <w:sz w:val="20"/>
                <w:szCs w:val="20"/>
              </w:rPr>
              <w:t>)</w:t>
            </w:r>
          </w:p>
          <w:p w:rsidR="00116956" w:rsidRPr="00F876DC" w:rsidRDefault="00116956" w:rsidP="00116956">
            <w:pPr>
              <w:jc w:val="center"/>
              <w:rPr>
                <w:b/>
                <w:bCs/>
                <w:sz w:val="22"/>
                <w:szCs w:val="22"/>
              </w:rPr>
            </w:pPr>
            <w:r w:rsidRPr="00F876DC">
              <w:rPr>
                <w:b/>
                <w:bCs/>
                <w:sz w:val="22"/>
                <w:szCs w:val="22"/>
              </w:rPr>
              <w:t>вартість</w:t>
            </w:r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(грн.)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Сума</w:t>
            </w:r>
          </w:p>
          <w:p w:rsidR="00116956" w:rsidRPr="00F876DC" w:rsidRDefault="00116956" w:rsidP="00116956">
            <w:pPr>
              <w:jc w:val="center"/>
              <w:rPr>
                <w:b/>
                <w:bCs/>
                <w:sz w:val="22"/>
                <w:szCs w:val="22"/>
              </w:rPr>
            </w:pPr>
            <w:r w:rsidRPr="00F876DC">
              <w:rPr>
                <w:b/>
                <w:bCs/>
                <w:sz w:val="22"/>
                <w:szCs w:val="22"/>
              </w:rPr>
              <w:t>зносу</w:t>
            </w:r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(грн.)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956" w:rsidRPr="00F876DC" w:rsidRDefault="00116956" w:rsidP="0011695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876DC">
              <w:rPr>
                <w:b/>
                <w:sz w:val="22"/>
                <w:szCs w:val="22"/>
              </w:rPr>
              <w:t>Балан-сова</w:t>
            </w:r>
            <w:proofErr w:type="spellEnd"/>
            <w:r w:rsidRPr="00F876DC">
              <w:rPr>
                <w:b/>
                <w:sz w:val="22"/>
                <w:szCs w:val="22"/>
              </w:rPr>
              <w:t xml:space="preserve"> </w:t>
            </w:r>
            <w:r w:rsidRPr="00C601A1">
              <w:rPr>
                <w:b/>
                <w:sz w:val="20"/>
                <w:szCs w:val="20"/>
              </w:rPr>
              <w:t>(</w:t>
            </w:r>
            <w:proofErr w:type="spellStart"/>
            <w:r w:rsidRPr="00C601A1">
              <w:rPr>
                <w:b/>
                <w:sz w:val="20"/>
                <w:szCs w:val="20"/>
              </w:rPr>
              <w:t>залиш-кова</w:t>
            </w:r>
            <w:proofErr w:type="spellEnd"/>
            <w:r w:rsidRPr="00C601A1">
              <w:rPr>
                <w:b/>
                <w:sz w:val="20"/>
                <w:szCs w:val="20"/>
              </w:rPr>
              <w:t>)</w:t>
            </w:r>
            <w:r w:rsidRPr="00F876DC">
              <w:rPr>
                <w:b/>
                <w:sz w:val="22"/>
                <w:szCs w:val="22"/>
              </w:rPr>
              <w:t xml:space="preserve"> </w:t>
            </w:r>
            <w:r w:rsidRPr="00F876DC">
              <w:rPr>
                <w:b/>
                <w:bCs/>
                <w:sz w:val="22"/>
                <w:szCs w:val="22"/>
              </w:rPr>
              <w:t>вартість</w:t>
            </w:r>
          </w:p>
          <w:p w:rsidR="00116956" w:rsidRPr="00F876DC" w:rsidRDefault="00116956" w:rsidP="00116956">
            <w:pPr>
              <w:jc w:val="center"/>
              <w:rPr>
                <w:b/>
                <w:sz w:val="22"/>
                <w:szCs w:val="22"/>
              </w:rPr>
            </w:pPr>
            <w:r w:rsidRPr="00F876DC">
              <w:rPr>
                <w:b/>
                <w:sz w:val="22"/>
                <w:szCs w:val="22"/>
              </w:rPr>
              <w:t>(грн.)</w:t>
            </w:r>
          </w:p>
        </w:tc>
      </w:tr>
      <w:tr w:rsidR="00116956" w:rsidRPr="00F876DC" w:rsidTr="00116956">
        <w:trPr>
          <w:trHeight w:val="1020"/>
        </w:trPr>
        <w:tc>
          <w:tcPr>
            <w:tcW w:w="567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  <w:r w:rsidRPr="00F876DC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</w:tcPr>
          <w:p w:rsidR="00116956" w:rsidRPr="00C35B0E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Контейнер для ТПВ </w:t>
            </w:r>
            <w:proofErr w:type="spellStart"/>
            <w:r>
              <w:rPr>
                <w:sz w:val="22"/>
                <w:szCs w:val="22"/>
                <w:lang w:val="ru-RU"/>
              </w:rPr>
              <w:t>пластиковий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MGB</w:t>
            </w:r>
            <w:r>
              <w:rPr>
                <w:sz w:val="22"/>
                <w:szCs w:val="22"/>
              </w:rPr>
              <w:t xml:space="preserve"> 1100л, </w:t>
            </w:r>
            <w:proofErr w:type="gramStart"/>
            <w:r>
              <w:rPr>
                <w:sz w:val="22"/>
                <w:szCs w:val="22"/>
              </w:rPr>
              <w:t>плоска</w:t>
            </w:r>
            <w:proofErr w:type="gramEnd"/>
            <w:r>
              <w:rPr>
                <w:sz w:val="22"/>
                <w:szCs w:val="22"/>
              </w:rPr>
              <w:t xml:space="preserve"> кришка сірий</w:t>
            </w:r>
          </w:p>
        </w:tc>
        <w:tc>
          <w:tcPr>
            <w:tcW w:w="1275" w:type="dxa"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10601374</w:t>
            </w: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Pr="00F876DC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4 648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1 242</w:t>
            </w:r>
            <w:r w:rsidRPr="00F876D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3 406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72</w:t>
            </w:r>
          </w:p>
        </w:tc>
      </w:tr>
      <w:tr w:rsidR="00116956" w:rsidRPr="00FC3C5E" w:rsidTr="00116956">
        <w:trPr>
          <w:trHeight w:val="695"/>
        </w:trPr>
        <w:tc>
          <w:tcPr>
            <w:tcW w:w="567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  <w:r w:rsidRPr="00F876DC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</w:tcPr>
          <w:p w:rsidR="00116956" w:rsidRPr="00F876DC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ТВП на 1100л</w:t>
            </w:r>
          </w:p>
          <w:p w:rsidR="00116956" w:rsidRPr="00F876DC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10601404</w:t>
            </w: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4 511,00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6956" w:rsidRPr="00F876DC" w:rsidTr="00116956">
        <w:trPr>
          <w:trHeight w:val="633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</w:tcPr>
          <w:p w:rsidR="00116956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0B6212">
            <w:pPr>
              <w:tabs>
                <w:tab w:val="left" w:pos="0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10601423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4 511,00</w:t>
            </w:r>
          </w:p>
        </w:tc>
        <w:tc>
          <w:tcPr>
            <w:tcW w:w="1134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527,31</w:t>
            </w:r>
          </w:p>
        </w:tc>
        <w:tc>
          <w:tcPr>
            <w:tcW w:w="1276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3 983,36</w:t>
            </w:r>
          </w:p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</w:tc>
      </w:tr>
      <w:tr w:rsidR="00116956" w:rsidRPr="00FC3C5E" w:rsidTr="00116956">
        <w:trPr>
          <w:trHeight w:val="448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  <w:noWrap/>
          </w:tcPr>
          <w:p w:rsidR="000B6212" w:rsidRDefault="000B6212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10601437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4 511,00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6956" w:rsidRPr="00FC3C5E" w:rsidTr="00116956">
        <w:trPr>
          <w:trHeight w:val="518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shd w:val="clear" w:color="auto" w:fill="auto"/>
            <w:noWrap/>
          </w:tcPr>
          <w:p w:rsidR="000B6212" w:rsidRDefault="000B6212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0B6212">
            <w:pPr>
              <w:tabs>
                <w:tab w:val="left" w:pos="0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10601438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4 511,00</w:t>
            </w: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16956" w:rsidRPr="00FC3C5E" w:rsidTr="00116956">
        <w:trPr>
          <w:trHeight w:val="486"/>
        </w:trPr>
        <w:tc>
          <w:tcPr>
            <w:tcW w:w="567" w:type="dxa"/>
            <w:shd w:val="clear" w:color="auto" w:fill="auto"/>
            <w:noWrap/>
          </w:tcPr>
          <w:p w:rsidR="00116956" w:rsidRDefault="00116956" w:rsidP="00116956">
            <w:pPr>
              <w:rPr>
                <w:sz w:val="22"/>
                <w:szCs w:val="22"/>
              </w:rPr>
            </w:pPr>
          </w:p>
          <w:p w:rsidR="00116956" w:rsidRDefault="00116956" w:rsidP="001169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</w:tcPr>
          <w:p w:rsidR="000B6212" w:rsidRDefault="000B6212" w:rsidP="0011695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  <w:p w:rsidR="00116956" w:rsidRPr="00F876DC" w:rsidRDefault="00116956" w:rsidP="000B6212">
            <w:pPr>
              <w:tabs>
                <w:tab w:val="left" w:pos="0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Пластиковий контейнер для збору ТПВ на 1100л</w:t>
            </w:r>
          </w:p>
        </w:tc>
        <w:tc>
          <w:tcPr>
            <w:tcW w:w="1275" w:type="dxa"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10601450</w:t>
            </w:r>
          </w:p>
        </w:tc>
        <w:tc>
          <w:tcPr>
            <w:tcW w:w="1418" w:type="dxa"/>
            <w:shd w:val="clear" w:color="auto" w:fill="auto"/>
            <w:noWrap/>
          </w:tcPr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Default="00116956" w:rsidP="001169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4 511,00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116956" w:rsidRPr="00F876DC" w:rsidRDefault="00116956" w:rsidP="00116956">
            <w:pPr>
              <w:rPr>
                <w:sz w:val="22"/>
                <w:szCs w:val="22"/>
              </w:rPr>
            </w:pP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602</w:t>
            </w:r>
            <w:r w:rsidRPr="00F876D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  <w:p w:rsidR="00116956" w:rsidRPr="00E67BD9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116956" w:rsidRPr="00F876DC" w:rsidRDefault="00116956" w:rsidP="00116956">
            <w:pPr>
              <w:jc w:val="center"/>
              <w:rPr>
                <w:sz w:val="22"/>
                <w:szCs w:val="22"/>
              </w:rPr>
            </w:pP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3 908,36</w:t>
            </w:r>
          </w:p>
          <w:p w:rsidR="00116956" w:rsidRPr="00FC3C5E" w:rsidRDefault="00116956" w:rsidP="0011695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16956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0B6212" w:rsidRDefault="000B6212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116956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116956" w:rsidRDefault="00116956" w:rsidP="00116956">
      <w:pPr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proofErr w:type="spellStart"/>
      <w:r>
        <w:rPr>
          <w:b/>
          <w:szCs w:val="28"/>
        </w:rPr>
        <w:t>Продан</w:t>
      </w:r>
      <w:proofErr w:type="spellEnd"/>
    </w:p>
    <w:p w:rsidR="00116956" w:rsidRDefault="00116956" w:rsidP="00116956">
      <w:pPr>
        <w:pStyle w:val="a5"/>
        <w:tabs>
          <w:tab w:val="left" w:pos="6804"/>
        </w:tabs>
        <w:rPr>
          <w:sz w:val="24"/>
          <w:szCs w:val="24"/>
        </w:rPr>
      </w:pPr>
    </w:p>
    <w:p w:rsidR="00116956" w:rsidRPr="00E46027" w:rsidRDefault="00116956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116956" w:rsidRPr="00E46027" w:rsidSect="00837236">
      <w:headerReference w:type="even" r:id="rId9"/>
      <w:headerReference w:type="default" r:id="rId10"/>
      <w:pgSz w:w="11906" w:h="16838"/>
      <w:pgMar w:top="851" w:right="850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33B" w:rsidRDefault="0013533B">
      <w:r>
        <w:separator/>
      </w:r>
    </w:p>
  </w:endnote>
  <w:endnote w:type="continuationSeparator" w:id="0">
    <w:p w:rsidR="0013533B" w:rsidRDefault="00135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33B" w:rsidRDefault="0013533B">
      <w:r>
        <w:separator/>
      </w:r>
    </w:p>
  </w:footnote>
  <w:footnote w:type="continuationSeparator" w:id="0">
    <w:p w:rsidR="0013533B" w:rsidRDefault="00135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409" w:rsidRDefault="000F4CDB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C440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C4409" w:rsidRDefault="007C4409" w:rsidP="007C3E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409" w:rsidRDefault="007C4409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7C4409" w:rsidRPr="00A3056D" w:rsidRDefault="007C4409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7C4409" w:rsidRDefault="000F4CDB" w:rsidP="001022E9">
    <w:pPr>
      <w:pStyle w:val="a7"/>
      <w:jc w:val="center"/>
    </w:pPr>
    <w:r>
      <w:rPr>
        <w:rStyle w:val="a8"/>
      </w:rPr>
      <w:fldChar w:fldCharType="begin"/>
    </w:r>
    <w:r w:rsidR="007C4409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BB32CF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6A0"/>
    <w:rsid w:val="0004584E"/>
    <w:rsid w:val="00046318"/>
    <w:rsid w:val="000518E3"/>
    <w:rsid w:val="00051B3A"/>
    <w:rsid w:val="00051C88"/>
    <w:rsid w:val="0005277F"/>
    <w:rsid w:val="00053CBE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212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3CB8"/>
    <w:rsid w:val="000F4CDB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695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33B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5A53"/>
    <w:rsid w:val="001E5FAE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3D88"/>
    <w:rsid w:val="0020405C"/>
    <w:rsid w:val="00204BEF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1EC3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6CD0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4FC8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B69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678D9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69A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156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22E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3E72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5CC7"/>
    <w:rsid w:val="005C68CF"/>
    <w:rsid w:val="005C724E"/>
    <w:rsid w:val="005D0509"/>
    <w:rsid w:val="005D2CC6"/>
    <w:rsid w:val="005D3B09"/>
    <w:rsid w:val="005D3DDD"/>
    <w:rsid w:val="005D4DFB"/>
    <w:rsid w:val="005D5D35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0D68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67CC9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2C7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4DE4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67E0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409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A94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2D6B"/>
    <w:rsid w:val="00833CE6"/>
    <w:rsid w:val="00833E59"/>
    <w:rsid w:val="0083417C"/>
    <w:rsid w:val="00834599"/>
    <w:rsid w:val="00834B3F"/>
    <w:rsid w:val="008351FC"/>
    <w:rsid w:val="00837236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CAA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275C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508D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24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0E70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08CE"/>
    <w:rsid w:val="00A61028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2CF"/>
    <w:rsid w:val="00BB3635"/>
    <w:rsid w:val="00BB3DDE"/>
    <w:rsid w:val="00BB42EB"/>
    <w:rsid w:val="00BB479A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11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1ABA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7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258D"/>
    <w:rsid w:val="00DB3A3C"/>
    <w:rsid w:val="00DB40F0"/>
    <w:rsid w:val="00DB519F"/>
    <w:rsid w:val="00DB540E"/>
    <w:rsid w:val="00DB5D85"/>
    <w:rsid w:val="00DB5FD8"/>
    <w:rsid w:val="00DB622F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95A"/>
    <w:rsid w:val="00E21246"/>
    <w:rsid w:val="00E22497"/>
    <w:rsid w:val="00E22969"/>
    <w:rsid w:val="00E22EB8"/>
    <w:rsid w:val="00E23424"/>
    <w:rsid w:val="00E23612"/>
    <w:rsid w:val="00E23CBA"/>
    <w:rsid w:val="00E2475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3810"/>
    <w:rsid w:val="00E43861"/>
    <w:rsid w:val="00E46027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2BA"/>
    <w:rsid w:val="00E633CC"/>
    <w:rsid w:val="00E6345C"/>
    <w:rsid w:val="00E65BAB"/>
    <w:rsid w:val="00E66B03"/>
    <w:rsid w:val="00E66E58"/>
    <w:rsid w:val="00E6729E"/>
    <w:rsid w:val="00E6768A"/>
    <w:rsid w:val="00E70016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9695E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6A21"/>
    <w:rsid w:val="00ED7B1F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4C4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0E6D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85E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1F674-2989-483C-8AB3-E27BF4DD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35</cp:revision>
  <cp:lastPrinted>2018-09-17T07:33:00Z</cp:lastPrinted>
  <dcterms:created xsi:type="dcterms:W3CDTF">2018-09-14T08:05:00Z</dcterms:created>
  <dcterms:modified xsi:type="dcterms:W3CDTF">2018-09-17T13:41:00Z</dcterms:modified>
</cp:coreProperties>
</file>