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8D786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A753B8">
        <w:t>ь</w:t>
      </w:r>
      <w:r w:rsidR="001A53C0">
        <w:t xml:space="preserve"> </w:t>
      </w:r>
      <w:r w:rsidR="008A17CC">
        <w:t>юридичн</w:t>
      </w:r>
      <w:r w:rsidR="00A753B8">
        <w:t>их</w:t>
      </w:r>
      <w:r w:rsidR="001B1BFF">
        <w:t xml:space="preserve"> </w:t>
      </w:r>
      <w:r w:rsidR="00835179">
        <w:t xml:space="preserve">та фізичних </w:t>
      </w:r>
      <w:r w:rsidR="008A17CC">
        <w:t>ос</w:t>
      </w:r>
      <w:r w:rsidR="00A753B8">
        <w:t>і</w:t>
      </w:r>
      <w:r w:rsidR="00700763">
        <w:t>б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A753B8">
        <w:t>ів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753B8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1A7375">
        <w:rPr>
          <w:bCs/>
          <w:sz w:val="28"/>
          <w:szCs w:val="28"/>
        </w:rPr>
        <w:t xml:space="preserve">юридичних </w:t>
      </w:r>
      <w:r w:rsidR="00835179">
        <w:rPr>
          <w:bCs/>
          <w:sz w:val="28"/>
          <w:szCs w:val="28"/>
        </w:rPr>
        <w:t xml:space="preserve">та фізичних </w:t>
      </w:r>
      <w:r w:rsidR="001A7375">
        <w:rPr>
          <w:bCs/>
          <w:sz w:val="28"/>
          <w:szCs w:val="28"/>
        </w:rPr>
        <w:t>осіб</w:t>
      </w:r>
      <w:r w:rsidR="00C4040D">
        <w:rPr>
          <w:sz w:val="28"/>
          <w:szCs w:val="28"/>
        </w:rPr>
        <w:t>, враховуючи виснов</w:t>
      </w:r>
      <w:r w:rsidR="00A753B8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A753B8">
        <w:rPr>
          <w:sz w:val="28"/>
          <w:szCs w:val="28"/>
        </w:rPr>
        <w:t>и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A753B8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A753B8">
        <w:t>ів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A753B8">
        <w:t>ів</w:t>
      </w:r>
      <w:r w:rsidR="00B6001B">
        <w:t xml:space="preserve"> і в межах сум</w:t>
      </w:r>
      <w:r w:rsidR="00A90372">
        <w:t>, затверджен</w:t>
      </w:r>
      <w:r w:rsidR="00A753B8">
        <w:t>их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A753B8">
        <w:t>згідно з додатком</w:t>
      </w:r>
      <w:r w:rsidR="00A753B8" w:rsidRPr="007475BF">
        <w:rPr>
          <w:bCs/>
        </w:rPr>
        <w:t>:</w:t>
      </w:r>
    </w:p>
    <w:p w:rsidR="00A753B8" w:rsidRDefault="00A753B8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A753B8" w:rsidRDefault="00A753B8" w:rsidP="00ED6CE4">
      <w:pPr>
        <w:pStyle w:val="20"/>
        <w:tabs>
          <w:tab w:val="left" w:pos="709"/>
        </w:tabs>
      </w:pPr>
      <w:r>
        <w:rPr>
          <w:b/>
          <w:bCs/>
        </w:rPr>
        <w:tab/>
        <w:t xml:space="preserve">1.1. </w:t>
      </w:r>
      <w:r w:rsidR="00835179">
        <w:rPr>
          <w:b/>
          <w:bCs/>
        </w:rPr>
        <w:t xml:space="preserve">Фізичній особі – підприємцю </w:t>
      </w:r>
      <w:proofErr w:type="spellStart"/>
      <w:r w:rsidR="00835179">
        <w:rPr>
          <w:b/>
          <w:bCs/>
        </w:rPr>
        <w:t>Триколичу</w:t>
      </w:r>
      <w:proofErr w:type="spellEnd"/>
      <w:r w:rsidR="00835179">
        <w:rPr>
          <w:b/>
          <w:bCs/>
        </w:rPr>
        <w:t xml:space="preserve"> Трифону Михайловичу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591305">
        <w:t xml:space="preserve">РНОКПП </w:t>
      </w:r>
      <w:r w:rsidR="00142DA1">
        <w:t>…</w:t>
      </w:r>
      <w:r w:rsidR="00B6001B" w:rsidRPr="003E5DA8">
        <w:t xml:space="preserve">) за </w:t>
      </w:r>
      <w:proofErr w:type="spellStart"/>
      <w:r w:rsidR="00B6001B" w:rsidRPr="003E5DA8">
        <w:t>адресою</w:t>
      </w:r>
      <w:proofErr w:type="spellEnd"/>
      <w:r w:rsidR="001B1BFF">
        <w:t xml:space="preserve"> вул. </w:t>
      </w:r>
      <w:r w:rsidR="00835179">
        <w:t>Заньковецької Марії</w:t>
      </w:r>
      <w:r w:rsidR="00C4155B">
        <w:t>,</w:t>
      </w:r>
      <w:r w:rsidR="005B7145">
        <w:t xml:space="preserve"> </w:t>
      </w:r>
      <w:r w:rsidR="00835179">
        <w:t>20</w:t>
      </w:r>
      <w:r w:rsidR="001B1BFF">
        <w:t xml:space="preserve"> </w:t>
      </w:r>
      <w:r w:rsidR="00B6001B" w:rsidRPr="00AD1EC0">
        <w:t>(</w:t>
      </w:r>
      <w:r w:rsidR="00835179">
        <w:t>магазин сувенірів та непродовольчих товарів</w:t>
      </w:r>
      <w:r w:rsidR="00B6001B" w:rsidRPr="00AD1EC0">
        <w:t>)  у межах суми</w:t>
      </w:r>
      <w:r w:rsidR="00B6001B">
        <w:t xml:space="preserve"> </w:t>
      </w:r>
      <w:r w:rsidR="00946E14">
        <w:rPr>
          <w:b/>
          <w:bCs/>
        </w:rPr>
        <w:t>50586</w:t>
      </w:r>
      <w:r w:rsidR="00B6001B" w:rsidRPr="00D85B4E">
        <w:rPr>
          <w:b/>
        </w:rPr>
        <w:t xml:space="preserve"> (</w:t>
      </w:r>
      <w:r w:rsidR="00946E14">
        <w:rPr>
          <w:b/>
          <w:bCs/>
        </w:rPr>
        <w:t>п’ятдесят</w:t>
      </w:r>
      <w:r w:rsidR="001B1BFF" w:rsidRPr="00D85B4E">
        <w:rPr>
          <w:b/>
          <w:bCs/>
        </w:rPr>
        <w:t xml:space="preserve"> тисяч </w:t>
      </w:r>
      <w:r w:rsidR="00946E14">
        <w:rPr>
          <w:b/>
          <w:bCs/>
        </w:rPr>
        <w:t>п’ятсот вісімдесят шість</w:t>
      </w:r>
      <w:r w:rsidR="00B6001B" w:rsidRPr="00D85B4E">
        <w:rPr>
          <w:b/>
        </w:rPr>
        <w:t>)</w:t>
      </w:r>
      <w:r w:rsidR="00B6001B" w:rsidRPr="00AD1EC0">
        <w:t xml:space="preserve"> </w:t>
      </w:r>
      <w:r>
        <w:t>грн.</w:t>
      </w:r>
    </w:p>
    <w:p w:rsidR="00A753B8" w:rsidRDefault="00A753B8" w:rsidP="00ED6CE4">
      <w:pPr>
        <w:pStyle w:val="20"/>
        <w:tabs>
          <w:tab w:val="left" w:pos="709"/>
        </w:tabs>
      </w:pPr>
    </w:p>
    <w:p w:rsidR="00B6001B" w:rsidRDefault="00A753B8" w:rsidP="00350E28">
      <w:pPr>
        <w:pStyle w:val="20"/>
        <w:tabs>
          <w:tab w:val="left" w:pos="709"/>
        </w:tabs>
      </w:pPr>
      <w:r>
        <w:tab/>
      </w:r>
      <w:r w:rsidRPr="00A753B8">
        <w:rPr>
          <w:b/>
        </w:rPr>
        <w:t>1.2.</w:t>
      </w:r>
      <w:r w:rsidR="00B6001B">
        <w:t xml:space="preserve"> </w:t>
      </w:r>
      <w:r w:rsidR="007475BF" w:rsidRPr="001F0C54">
        <w:rPr>
          <w:b/>
          <w:bCs/>
        </w:rPr>
        <w:t xml:space="preserve">Західному офісу </w:t>
      </w:r>
      <w:proofErr w:type="spellStart"/>
      <w:r w:rsidR="007475BF" w:rsidRPr="001F0C54">
        <w:rPr>
          <w:b/>
          <w:bCs/>
        </w:rPr>
        <w:t>Держаудитслужби</w:t>
      </w:r>
      <w:proofErr w:type="spellEnd"/>
      <w:r w:rsidR="007475BF" w:rsidRPr="003E5DA8">
        <w:rPr>
          <w:b/>
          <w:bCs/>
        </w:rPr>
        <w:t xml:space="preserve"> </w:t>
      </w:r>
      <w:r w:rsidR="007475BF" w:rsidRPr="003E5DA8">
        <w:t>(</w:t>
      </w:r>
      <w:r w:rsidR="007475BF">
        <w:t xml:space="preserve">код ЄДРПОУ </w:t>
      </w:r>
      <w:r w:rsidR="00142DA1">
        <w:t>…</w:t>
      </w:r>
      <w:r w:rsidR="007475BF" w:rsidRPr="003E5DA8">
        <w:t xml:space="preserve">) за </w:t>
      </w:r>
      <w:proofErr w:type="spellStart"/>
      <w:r w:rsidR="007475BF" w:rsidRPr="003E5DA8">
        <w:t>адресою</w:t>
      </w:r>
      <w:proofErr w:type="spellEnd"/>
      <w:r w:rsidR="007475BF">
        <w:t xml:space="preserve"> </w:t>
      </w:r>
      <w:r w:rsidR="00142DA1">
        <w:t xml:space="preserve"> </w:t>
      </w:r>
      <w:r w:rsidR="007475BF">
        <w:t>вул. Котляревського Івана, 1</w:t>
      </w:r>
      <w:r w:rsidR="007475BF" w:rsidRPr="003E5DA8">
        <w:t xml:space="preserve"> </w:t>
      </w:r>
      <w:r w:rsidR="007475BF" w:rsidRPr="00AD1EC0">
        <w:t>(</w:t>
      </w:r>
      <w:r w:rsidR="007475BF">
        <w:t xml:space="preserve">розміщення Управління Західного офісу </w:t>
      </w:r>
      <w:proofErr w:type="spellStart"/>
      <w:r w:rsidR="007475BF">
        <w:t>Держаудитслужби</w:t>
      </w:r>
      <w:proofErr w:type="spellEnd"/>
      <w:r w:rsidR="007475BF">
        <w:t xml:space="preserve"> в Чернівецькій області) </w:t>
      </w:r>
      <w:r w:rsidR="007475BF" w:rsidRPr="00AD1EC0">
        <w:t>у межах суми</w:t>
      </w:r>
      <w:r w:rsidR="007475BF">
        <w:t xml:space="preserve"> </w:t>
      </w:r>
      <w:r w:rsidR="007475BF">
        <w:rPr>
          <w:b/>
        </w:rPr>
        <w:t>9181</w:t>
      </w:r>
      <w:r w:rsidR="007475BF" w:rsidRPr="00D75663">
        <w:rPr>
          <w:b/>
        </w:rPr>
        <w:t xml:space="preserve"> (</w:t>
      </w:r>
      <w:r w:rsidR="007475BF">
        <w:rPr>
          <w:b/>
        </w:rPr>
        <w:t>дев’ять тисяч</w:t>
      </w:r>
      <w:r w:rsidR="007475BF" w:rsidRPr="00D75663">
        <w:rPr>
          <w:b/>
        </w:rPr>
        <w:t xml:space="preserve"> </w:t>
      </w:r>
      <w:r w:rsidR="007475BF">
        <w:rPr>
          <w:b/>
        </w:rPr>
        <w:t>сто вісімдесят одна</w:t>
      </w:r>
      <w:r w:rsidR="007475BF" w:rsidRPr="00D75663">
        <w:rPr>
          <w:b/>
        </w:rPr>
        <w:t>)</w:t>
      </w:r>
      <w:r w:rsidR="007475BF" w:rsidRPr="00AD1EC0">
        <w:t xml:space="preserve"> </w:t>
      </w:r>
      <w:r w:rsidR="007475BF">
        <w:t>грн.</w:t>
      </w:r>
    </w:p>
    <w:p w:rsidR="007475BF" w:rsidRDefault="007475BF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A753B8">
        <w:t>ям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lastRenderedPageBreak/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A753B8">
        <w:t>а</w:t>
      </w:r>
      <w:r>
        <w:t>м</w:t>
      </w:r>
      <w:r w:rsidR="00A753B8">
        <w:t>и</w:t>
      </w:r>
      <w:r>
        <w:t xml:space="preserve">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A753B8">
        <w:t>я</w:t>
      </w:r>
      <w:r w:rsidR="00C4040D">
        <w:t>м</w:t>
      </w:r>
      <w:r w:rsidR="00A753B8">
        <w:t>и</w:t>
      </w:r>
      <w:r w:rsidR="00C4040D">
        <w:t xml:space="preserve">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C4040D">
        <w:t>, зазначен</w:t>
      </w:r>
      <w:r w:rsidR="00A753B8">
        <w:t>их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rPr>
          <w:trHeight w:val="356"/>
        </w:trPr>
        <w:tc>
          <w:tcPr>
            <w:tcW w:w="4950" w:type="dxa"/>
          </w:tcPr>
          <w:p w:rsidR="00BC189F" w:rsidRPr="00BC189F" w:rsidRDefault="007475BF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 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7475BF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A204C5" w:rsidRDefault="00A204C5">
      <w:pPr>
        <w:sectPr w:rsidR="00A204C5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A204C5" w:rsidRPr="00001A5D" w:rsidRDefault="00A204C5" w:rsidP="00A204C5">
      <w:pPr>
        <w:pStyle w:val="a6"/>
        <w:ind w:left="10632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lastRenderedPageBreak/>
        <w:t xml:space="preserve">    Додаток</w:t>
      </w:r>
    </w:p>
    <w:p w:rsidR="00A204C5" w:rsidRPr="00001A5D" w:rsidRDefault="00A204C5" w:rsidP="00A204C5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A204C5" w:rsidRPr="00001A5D" w:rsidRDefault="00A204C5" w:rsidP="00A204C5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A204C5" w:rsidRPr="00001A5D" w:rsidRDefault="00A204C5" w:rsidP="00A204C5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               __</w:t>
      </w:r>
      <w:r w:rsidRPr="00001A5D">
        <w:rPr>
          <w:b/>
          <w:sz w:val="28"/>
          <w:szCs w:val="28"/>
          <w:lang w:val="uk-UA"/>
        </w:rPr>
        <w:t>______2018  № _____</w:t>
      </w:r>
    </w:p>
    <w:p w:rsidR="00A204C5" w:rsidRPr="00001A5D" w:rsidRDefault="00A204C5" w:rsidP="00A204C5">
      <w:pPr>
        <w:pStyle w:val="10"/>
      </w:pPr>
    </w:p>
    <w:p w:rsidR="00A204C5" w:rsidRPr="00001A5D" w:rsidRDefault="00A204C5" w:rsidP="00A204C5">
      <w:pPr>
        <w:pStyle w:val="10"/>
      </w:pPr>
      <w:r w:rsidRPr="00001A5D">
        <w:t>ПЕРЕЛІК</w:t>
      </w:r>
    </w:p>
    <w:p w:rsidR="00A204C5" w:rsidRPr="00001A5D" w:rsidRDefault="00A204C5" w:rsidP="00A204C5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>
        <w:rPr>
          <w:b/>
          <w:bCs/>
          <w:sz w:val="28"/>
          <w:szCs w:val="28"/>
          <w:lang w:val="uk-UA"/>
        </w:rPr>
        <w:t>ів</w:t>
      </w:r>
      <w:r w:rsidRPr="00001A5D">
        <w:rPr>
          <w:b/>
          <w:bCs/>
          <w:sz w:val="28"/>
          <w:szCs w:val="28"/>
          <w:lang w:val="uk-UA"/>
        </w:rPr>
        <w:t xml:space="preserve"> оренди, на виконання яких надається згода </w:t>
      </w:r>
    </w:p>
    <w:p w:rsidR="00A204C5" w:rsidRPr="00001A5D" w:rsidRDefault="00A204C5" w:rsidP="00A204C5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4"/>
        <w:gridCol w:w="1097"/>
        <w:gridCol w:w="1176"/>
        <w:gridCol w:w="1417"/>
      </w:tblGrid>
      <w:tr w:rsidR="00A204C5" w:rsidRPr="00001A5D" w:rsidTr="006D2A70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204C5" w:rsidRPr="00001A5D" w:rsidRDefault="00A204C5" w:rsidP="006D2A7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</w:t>
            </w:r>
            <w:proofErr w:type="spellStart"/>
            <w:r w:rsidRPr="00001A5D">
              <w:rPr>
                <w:sz w:val="28"/>
                <w:szCs w:val="28"/>
                <w:lang w:val="uk-UA"/>
              </w:rPr>
              <w:t>ниця</w:t>
            </w:r>
            <w:proofErr w:type="spellEnd"/>
          </w:p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204C5" w:rsidRPr="00001A5D" w:rsidRDefault="00A204C5" w:rsidP="006D2A7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001A5D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001A5D"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204C5" w:rsidRPr="00001A5D" w:rsidTr="006D2A70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A204C5" w:rsidRPr="00001A5D" w:rsidTr="006D2A70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особа – підприємець </w:t>
            </w:r>
            <w:proofErr w:type="spellStart"/>
            <w:r>
              <w:rPr>
                <w:b/>
                <w:bCs/>
              </w:rPr>
              <w:t>Триколич</w:t>
            </w:r>
            <w:proofErr w:type="spellEnd"/>
            <w:r>
              <w:rPr>
                <w:b/>
                <w:bCs/>
              </w:rPr>
              <w:t xml:space="preserve"> Трифон Михайлович</w:t>
            </w:r>
          </w:p>
          <w:p w:rsidR="00A204C5" w:rsidRPr="00717E3A" w:rsidRDefault="00A204C5" w:rsidP="006D2A70"/>
          <w:p w:rsidR="00A204C5" w:rsidRDefault="00A204C5" w:rsidP="006D2A70"/>
          <w:p w:rsidR="00A204C5" w:rsidRPr="00717E3A" w:rsidRDefault="00A204C5" w:rsidP="006D2A70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Заньковецької Марії, 20</w:t>
            </w:r>
          </w:p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магазин сувенірів та непродовольчих товарів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штукатурки на поверхні стін та перегородок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бетонної основи під підлоги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внутрішніх дверних блоків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ушкоджених ділянок трубопроводу водопостачання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ушкоджених ділянок трубопроводу каналізації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східців</w:t>
            </w: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автономної системи опалення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A204C5" w:rsidRPr="00001A5D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125,0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20,6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2/2,94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 1,2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13,885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6,049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0,733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7,778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2,837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1,154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1,701</w:t>
            </w:r>
          </w:p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0,185</w:t>
            </w: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16,264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04C5" w:rsidRPr="00001A5D" w:rsidTr="006D2A70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rPr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50,586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204C5" w:rsidRPr="00001A5D" w:rsidRDefault="00A204C5" w:rsidP="00A204C5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п’ятдесят </w:t>
      </w:r>
      <w:r w:rsidRPr="00001A5D">
        <w:rPr>
          <w:b/>
          <w:bCs/>
          <w:sz w:val="28"/>
          <w:szCs w:val="28"/>
          <w:lang w:val="uk-UA"/>
        </w:rPr>
        <w:t xml:space="preserve">тисяч </w:t>
      </w:r>
      <w:r>
        <w:rPr>
          <w:b/>
          <w:bCs/>
          <w:sz w:val="28"/>
          <w:szCs w:val="28"/>
          <w:lang w:val="uk-UA"/>
        </w:rPr>
        <w:t>п’ятсот вісімдесят шість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5475E4" w:rsidRDefault="005475E4" w:rsidP="005475E4">
      <w:pPr>
        <w:pStyle w:val="a6"/>
        <w:jc w:val="center"/>
        <w:rPr>
          <w:b/>
          <w:sz w:val="28"/>
          <w:szCs w:val="28"/>
          <w:lang w:val="uk-UA"/>
        </w:rPr>
      </w:pPr>
    </w:p>
    <w:p w:rsidR="005475E4" w:rsidRDefault="005475E4" w:rsidP="005475E4">
      <w:pPr>
        <w:pStyle w:val="a6"/>
        <w:jc w:val="right"/>
        <w:rPr>
          <w:b/>
          <w:bCs/>
          <w:sz w:val="28"/>
          <w:szCs w:val="28"/>
          <w:lang w:val="uk-UA"/>
        </w:rPr>
      </w:pPr>
      <w:r w:rsidRPr="004E7C06">
        <w:rPr>
          <w:b/>
          <w:sz w:val="28"/>
          <w:szCs w:val="28"/>
          <w:lang w:val="uk-UA"/>
        </w:rPr>
        <w:t xml:space="preserve">Продовження </w:t>
      </w:r>
      <w:r>
        <w:rPr>
          <w:sz w:val="28"/>
          <w:szCs w:val="28"/>
          <w:lang w:val="uk-UA"/>
        </w:rPr>
        <w:t>д</w:t>
      </w:r>
      <w:r w:rsidRPr="00001A5D">
        <w:rPr>
          <w:b/>
          <w:sz w:val="28"/>
          <w:szCs w:val="28"/>
          <w:lang w:val="uk-UA"/>
        </w:rPr>
        <w:t>одат</w:t>
      </w:r>
      <w:r>
        <w:rPr>
          <w:b/>
          <w:sz w:val="28"/>
          <w:szCs w:val="28"/>
          <w:lang w:val="uk-UA"/>
        </w:rPr>
        <w:t>ка</w:t>
      </w:r>
    </w:p>
    <w:p w:rsidR="00A204C5" w:rsidRPr="00001A5D" w:rsidRDefault="00A204C5" w:rsidP="00A204C5">
      <w:pPr>
        <w:pStyle w:val="a6"/>
        <w:jc w:val="center"/>
        <w:rPr>
          <w:b/>
          <w:sz w:val="28"/>
          <w:szCs w:val="28"/>
          <w:lang w:val="uk-UA"/>
        </w:rPr>
      </w:pPr>
    </w:p>
    <w:p w:rsidR="00A204C5" w:rsidRDefault="00A204C5" w:rsidP="00A204C5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A204C5" w:rsidRDefault="00A204C5" w:rsidP="00A204C5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A204C5" w:rsidRDefault="00A204C5" w:rsidP="00A204C5">
      <w:pPr>
        <w:pStyle w:val="a6"/>
        <w:jc w:val="center"/>
        <w:rPr>
          <w:b/>
          <w:sz w:val="28"/>
          <w:szCs w:val="28"/>
          <w:lang w:val="uk-UA"/>
        </w:rPr>
      </w:pPr>
    </w:p>
    <w:p w:rsidR="00A204C5" w:rsidRPr="00001A5D" w:rsidRDefault="00A204C5" w:rsidP="00A204C5">
      <w:pPr>
        <w:pStyle w:val="a6"/>
        <w:tabs>
          <w:tab w:val="left" w:pos="7371"/>
        </w:tabs>
        <w:ind w:left="7513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</w:t>
      </w:r>
    </w:p>
    <w:tbl>
      <w:tblPr>
        <w:tblpPr w:leftFromText="180" w:rightFromText="180" w:vertAnchor="page" w:horzAnchor="margin" w:tblpXSpec="center" w:tblpY="258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204C5" w:rsidRPr="00001A5D" w:rsidTr="006D2A70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A204C5" w:rsidRPr="00001A5D" w:rsidTr="006D2A70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Західний офіс </w:t>
            </w:r>
            <w:proofErr w:type="spellStart"/>
            <w:r>
              <w:rPr>
                <w:b/>
                <w:bCs/>
              </w:rPr>
              <w:t>Держаудитслужби</w:t>
            </w:r>
            <w:proofErr w:type="spellEnd"/>
          </w:p>
          <w:p w:rsidR="00A204C5" w:rsidRPr="00717E3A" w:rsidRDefault="00A204C5" w:rsidP="006D2A70"/>
          <w:p w:rsidR="00A204C5" w:rsidRDefault="00A204C5" w:rsidP="006D2A70"/>
          <w:p w:rsidR="00A204C5" w:rsidRPr="00717E3A" w:rsidRDefault="00A204C5" w:rsidP="006D2A70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ind w:left="-70" w:right="-1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Котляревського Івана, 1</w:t>
            </w:r>
          </w:p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розміщення Управління Західного офісу </w:t>
            </w:r>
            <w:proofErr w:type="spellStart"/>
            <w:r>
              <w:rPr>
                <w:sz w:val="28"/>
                <w:szCs w:val="28"/>
              </w:rPr>
              <w:t>Держаудитслужби</w:t>
            </w:r>
            <w:proofErr w:type="spellEnd"/>
            <w:r>
              <w:rPr>
                <w:sz w:val="28"/>
                <w:szCs w:val="28"/>
              </w:rPr>
              <w:t xml:space="preserve"> в Чернівецькій області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дверного блоку із металопластику</w:t>
            </w: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A204C5" w:rsidRPr="00001A5D" w:rsidRDefault="00A204C5" w:rsidP="006D2A70">
            <w:pPr>
              <w:ind w:left="-70" w:right="-65"/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1/3,061</w:t>
            </w: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9,181</w:t>
            </w: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04C5" w:rsidRPr="00001A5D" w:rsidTr="006D2A70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9,181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4C5" w:rsidRPr="00001A5D" w:rsidRDefault="00A204C5" w:rsidP="006D2A70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204C5" w:rsidRPr="00001A5D" w:rsidRDefault="00A204C5" w:rsidP="00A204C5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дев’ять </w:t>
      </w:r>
      <w:r w:rsidRPr="00001A5D">
        <w:rPr>
          <w:b/>
          <w:bCs/>
          <w:sz w:val="28"/>
          <w:szCs w:val="28"/>
          <w:lang w:val="uk-UA"/>
        </w:rPr>
        <w:t xml:space="preserve">тисяч </w:t>
      </w:r>
      <w:r>
        <w:rPr>
          <w:b/>
          <w:bCs/>
          <w:sz w:val="28"/>
          <w:szCs w:val="28"/>
          <w:lang w:val="uk-UA"/>
        </w:rPr>
        <w:t>сто вісімдесят одна</w:t>
      </w:r>
      <w:r w:rsidRPr="00001A5D">
        <w:rPr>
          <w:b/>
          <w:bCs/>
          <w:sz w:val="28"/>
          <w:szCs w:val="28"/>
          <w:lang w:val="uk-UA"/>
        </w:rPr>
        <w:t>) грн.</w:t>
      </w:r>
    </w:p>
    <w:tbl>
      <w:tblPr>
        <w:tblpPr w:leftFromText="180" w:rightFromText="180" w:vertAnchor="text" w:horzAnchor="margin" w:tblpY="768"/>
        <w:tblW w:w="159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A204C5" w:rsidRPr="00001A5D" w:rsidTr="006D2A70">
        <w:trPr>
          <w:trHeight w:val="375"/>
        </w:trPr>
        <w:tc>
          <w:tcPr>
            <w:tcW w:w="8215" w:type="dxa"/>
          </w:tcPr>
          <w:p w:rsidR="00A204C5" w:rsidRPr="00001A5D" w:rsidRDefault="00A204C5" w:rsidP="006D2A70">
            <w:pPr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Pr="00001A5D">
              <w:rPr>
                <w:b/>
                <w:bCs/>
                <w:sz w:val="28"/>
                <w:szCs w:val="28"/>
              </w:rPr>
              <w:t>Че</w:t>
            </w:r>
            <w:r>
              <w:rPr>
                <w:b/>
                <w:bCs/>
                <w:sz w:val="28"/>
                <w:szCs w:val="28"/>
              </w:rPr>
              <w:t xml:space="preserve">рнівецької </w:t>
            </w:r>
            <w:r w:rsidRPr="00001A5D">
              <w:rPr>
                <w:b/>
                <w:bCs/>
                <w:sz w:val="28"/>
                <w:szCs w:val="28"/>
              </w:rPr>
              <w:t>міськ</w:t>
            </w:r>
            <w:r>
              <w:rPr>
                <w:b/>
                <w:bCs/>
                <w:sz w:val="28"/>
                <w:szCs w:val="28"/>
              </w:rPr>
              <w:t>ої ради</w:t>
            </w:r>
          </w:p>
        </w:tc>
        <w:tc>
          <w:tcPr>
            <w:tcW w:w="7768" w:type="dxa"/>
          </w:tcPr>
          <w:p w:rsidR="00A204C5" w:rsidRPr="00001A5D" w:rsidRDefault="00A204C5" w:rsidP="006D2A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A204C5" w:rsidRPr="004E7C06" w:rsidRDefault="00A204C5" w:rsidP="00A204C5"/>
    <w:p w:rsidR="0016788E" w:rsidRPr="00CE4ADF" w:rsidRDefault="0016788E" w:rsidP="00A204C5">
      <w:pPr>
        <w:pStyle w:val="a6"/>
        <w:ind w:left="10915"/>
        <w:jc w:val="both"/>
        <w:rPr>
          <w:lang w:val="uk-UA"/>
        </w:rPr>
      </w:pPr>
    </w:p>
    <w:sectPr w:rsidR="0016788E" w:rsidRPr="00CE4ADF" w:rsidSect="005475E4">
      <w:pgSz w:w="16840" w:h="11907" w:orient="landscape" w:code="9"/>
      <w:pgMar w:top="851" w:right="1134" w:bottom="709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363" w:rsidRDefault="00281363">
      <w:r>
        <w:separator/>
      </w:r>
    </w:p>
  </w:endnote>
  <w:endnote w:type="continuationSeparator" w:id="0">
    <w:p w:rsidR="00281363" w:rsidRDefault="0028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363" w:rsidRDefault="00281363">
      <w:r>
        <w:separator/>
      </w:r>
    </w:p>
  </w:footnote>
  <w:footnote w:type="continuationSeparator" w:id="0">
    <w:p w:rsidR="00281363" w:rsidRDefault="0028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75E4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9C0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1C3E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1D39"/>
    <w:rsid w:val="00125A2F"/>
    <w:rsid w:val="00125C4F"/>
    <w:rsid w:val="00131B26"/>
    <w:rsid w:val="00132B40"/>
    <w:rsid w:val="0013309E"/>
    <w:rsid w:val="00135162"/>
    <w:rsid w:val="00141367"/>
    <w:rsid w:val="00142DA1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375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4B34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1363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2F20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36CEC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31C1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394"/>
    <w:rsid w:val="005374B5"/>
    <w:rsid w:val="005473F6"/>
    <w:rsid w:val="005475E4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1305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B7145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2105"/>
    <w:rsid w:val="005E4822"/>
    <w:rsid w:val="005E553E"/>
    <w:rsid w:val="005E7D59"/>
    <w:rsid w:val="005F1471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0B0D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43D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6D4D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475BF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5179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D786B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E14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04C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3B8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155B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9DC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85B4E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2E5E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44D3584-FBD5-4E66-93C3-08E6184D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2018-08-16T11:59:00Z</cp:lastPrinted>
  <dcterms:created xsi:type="dcterms:W3CDTF">2018-08-21T12:54:00Z</dcterms:created>
  <dcterms:modified xsi:type="dcterms:W3CDTF">2018-08-21T12:55:00Z</dcterms:modified>
</cp:coreProperties>
</file>