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E0749F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1B1BFF">
        <w:t>ня</w:t>
      </w:r>
      <w:r w:rsidR="001A53C0">
        <w:t xml:space="preserve"> </w:t>
      </w:r>
      <w:r w:rsidR="008A17CC">
        <w:t>юридичн</w:t>
      </w:r>
      <w:r w:rsidR="001B1BFF">
        <w:t xml:space="preserve">ої </w:t>
      </w:r>
      <w:r w:rsidR="008A17CC">
        <w:t>ос</w:t>
      </w:r>
      <w:r w:rsidR="001B1BFF">
        <w:t>о</w:t>
      </w:r>
      <w:r w:rsidR="00700763">
        <w:t>б</w:t>
      </w:r>
      <w:r w:rsidR="001B1BFF">
        <w:t>и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B1BFF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8A17CC">
        <w:rPr>
          <w:sz w:val="28"/>
          <w:szCs w:val="28"/>
        </w:rPr>
        <w:t>юридичн</w:t>
      </w:r>
      <w:r w:rsidR="001B1BFF">
        <w:rPr>
          <w:sz w:val="28"/>
          <w:szCs w:val="28"/>
        </w:rPr>
        <w:t>ої</w:t>
      </w:r>
      <w:r w:rsidR="008A17CC">
        <w:rPr>
          <w:sz w:val="28"/>
          <w:szCs w:val="28"/>
        </w:rPr>
        <w:t xml:space="preserve"> ос</w:t>
      </w:r>
      <w:r w:rsidR="001B1BFF">
        <w:rPr>
          <w:sz w:val="28"/>
          <w:szCs w:val="28"/>
        </w:rPr>
        <w:t>о</w:t>
      </w:r>
      <w:r w:rsidR="008A17CC">
        <w:rPr>
          <w:sz w:val="28"/>
          <w:szCs w:val="28"/>
        </w:rPr>
        <w:t>б</w:t>
      </w:r>
      <w:r w:rsidR="001B1BFF">
        <w:rPr>
          <w:sz w:val="28"/>
          <w:szCs w:val="28"/>
        </w:rPr>
        <w:t>и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1B1BFF">
        <w:rPr>
          <w:b/>
          <w:bCs/>
        </w:rPr>
        <w:t>обласній дитячо – юнацькій спортивній  школі «Колосок» Чернівецької обласної організації Всеукраїнського фізкультурно – спортивного товариства «Колос» агропромислового комплексу України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8A17CC">
        <w:t xml:space="preserve">код ЄДРПОУ </w:t>
      </w:r>
      <w:r w:rsidR="00006719">
        <w:t>…</w:t>
      </w:r>
      <w:r w:rsidR="00B6001B" w:rsidRPr="003E5DA8">
        <w:t>) за адресою</w:t>
      </w:r>
      <w:r w:rsidR="001B1BFF">
        <w:t xml:space="preserve"> вул. Кишинівська, 6 </w:t>
      </w:r>
      <w:r w:rsidR="00B6001B" w:rsidRPr="00AD1EC0">
        <w:t>(</w:t>
      </w:r>
      <w:r w:rsidR="001B1BFF">
        <w:t>спортивна секція велосипедного спорту</w:t>
      </w:r>
      <w:r w:rsidR="00B6001B" w:rsidRPr="00AD1EC0">
        <w:t>)  у межах суми</w:t>
      </w:r>
      <w:r w:rsidR="00B6001B">
        <w:t xml:space="preserve"> </w:t>
      </w:r>
      <w:r w:rsidR="001B1BFF">
        <w:rPr>
          <w:b/>
          <w:bCs/>
        </w:rPr>
        <w:t>71833</w:t>
      </w:r>
      <w:r w:rsidR="00B6001B" w:rsidRPr="00D75663">
        <w:rPr>
          <w:b/>
        </w:rPr>
        <w:t xml:space="preserve"> (</w:t>
      </w:r>
      <w:r w:rsidR="001B1BFF">
        <w:rPr>
          <w:b/>
          <w:bCs/>
        </w:rPr>
        <w:t>сімдесят одна</w:t>
      </w:r>
      <w:r w:rsidR="001B1BFF" w:rsidRPr="00001A5D">
        <w:rPr>
          <w:b/>
          <w:bCs/>
        </w:rPr>
        <w:t xml:space="preserve"> тисяч</w:t>
      </w:r>
      <w:r w:rsidR="001B1BFF">
        <w:rPr>
          <w:b/>
          <w:bCs/>
        </w:rPr>
        <w:t>а</w:t>
      </w:r>
      <w:r w:rsidR="001B1BFF" w:rsidRPr="00001A5D">
        <w:rPr>
          <w:b/>
          <w:bCs/>
        </w:rPr>
        <w:t xml:space="preserve"> </w:t>
      </w:r>
      <w:r w:rsidR="001B1BFF">
        <w:rPr>
          <w:b/>
          <w:bCs/>
        </w:rPr>
        <w:t>вісімсот тридцять три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lastRenderedPageBreak/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Default="0016788E" w:rsidP="00CE4ADF">
      <w:pPr>
        <w:pStyle w:val="a6"/>
        <w:ind w:left="10915"/>
        <w:rPr>
          <w:lang w:val="uk-UA"/>
        </w:rPr>
      </w:pPr>
    </w:p>
    <w:p w:rsidR="00823346" w:rsidRDefault="00823346" w:rsidP="00CE4ADF">
      <w:pPr>
        <w:pStyle w:val="a6"/>
        <w:ind w:left="10915"/>
        <w:rPr>
          <w:lang w:val="uk-UA"/>
        </w:rPr>
        <w:sectPr w:rsidR="00823346" w:rsidSect="00C06850">
          <w:headerReference w:type="even" r:id="rId8"/>
          <w:headerReference w:type="default" r:id="rId9"/>
          <w:footerReference w:type="default" r:id="rId10"/>
          <w:pgSz w:w="11907" w:h="16840" w:code="9"/>
          <w:pgMar w:top="1134" w:right="709" w:bottom="1134" w:left="851" w:header="709" w:footer="709" w:gutter="567"/>
          <w:pgNumType w:start="1"/>
          <w:cols w:space="709"/>
          <w:titlePg/>
        </w:sectPr>
      </w:pPr>
    </w:p>
    <w:p w:rsidR="00823346" w:rsidRDefault="00823346" w:rsidP="00823346">
      <w:pPr>
        <w:pStyle w:val="a6"/>
        <w:ind w:left="793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Додаток</w:t>
      </w:r>
    </w:p>
    <w:p w:rsidR="00823346" w:rsidRDefault="00823346" w:rsidP="00823346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до рішення виконавчого </w:t>
      </w:r>
    </w:p>
    <w:p w:rsidR="00823346" w:rsidRDefault="00823346" w:rsidP="00823346">
      <w:pPr>
        <w:pStyle w:val="a6"/>
        <w:ind w:left="864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823346" w:rsidRDefault="00823346" w:rsidP="00823346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               __</w:t>
      </w:r>
      <w:r>
        <w:rPr>
          <w:b/>
          <w:sz w:val="28"/>
          <w:szCs w:val="28"/>
          <w:lang w:val="uk-UA"/>
        </w:rPr>
        <w:t>______2018  № _____</w:t>
      </w:r>
    </w:p>
    <w:p w:rsidR="00823346" w:rsidRDefault="00823346" w:rsidP="00823346">
      <w:pPr>
        <w:pStyle w:val="10"/>
      </w:pPr>
    </w:p>
    <w:p w:rsidR="00823346" w:rsidRDefault="00823346" w:rsidP="00823346">
      <w:pPr>
        <w:pStyle w:val="10"/>
      </w:pPr>
      <w:r>
        <w:t>ПЕРЕЛІК</w:t>
      </w:r>
    </w:p>
    <w:p w:rsidR="00823346" w:rsidRDefault="00823346" w:rsidP="00823346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об’єкта оренди, на виконання яких надається згода </w:t>
      </w:r>
    </w:p>
    <w:p w:rsidR="00823346" w:rsidRDefault="00823346" w:rsidP="00823346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2551"/>
        <w:gridCol w:w="2517"/>
        <w:gridCol w:w="4427"/>
        <w:gridCol w:w="1139"/>
        <w:gridCol w:w="1092"/>
        <w:gridCol w:w="1176"/>
        <w:gridCol w:w="1417"/>
      </w:tblGrid>
      <w:tr w:rsidR="00823346" w:rsidTr="0082334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823346" w:rsidRDefault="008233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Оди-ниця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823346" w:rsidRDefault="008233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823346" w:rsidTr="0082334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20"/>
              <w:jc w:val="center"/>
            </w:pPr>
            <w: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823346" w:rsidTr="00823346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Обласна дитячо – юнацька спортивна  школа «Колосок» Чернівецької обласної організації Всеукраїнського фізкультурно – спортивного товариства «Колос» агропромислового комплексу України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вул.Кишинівська,6</w:t>
            </w:r>
          </w:p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(спортивна секція велосипедного спорту)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бетонної основи під підлоги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вхідного дверного блоку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дверних блоків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водопостачання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сходів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кв.м/</w:t>
            </w:r>
          </w:p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куб.м</w:t>
            </w:r>
          </w:p>
          <w:p w:rsidR="00823346" w:rsidRDefault="00823346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823346" w:rsidRDefault="00823346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823346" w:rsidRDefault="00823346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823346" w:rsidRDefault="00823346">
            <w:pPr>
              <w:rPr>
                <w:sz w:val="28"/>
                <w:szCs w:val="28"/>
              </w:rPr>
            </w:pPr>
          </w:p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823346" w:rsidRDefault="00823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823346" w:rsidRDefault="00823346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255,0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10,0/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 2,1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5/ 9,86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4/ 5,08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16/ 6,5</w:t>
            </w: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35,484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1,745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3,735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12,765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9,909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2,374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2,235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2,598</w:t>
            </w: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3346" w:rsidTr="0082334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346" w:rsidRDefault="008233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71,833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46" w:rsidRDefault="0082334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823346" w:rsidRDefault="00823346" w:rsidP="00823346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>(сімдесят одна тисяча вісімсот тридцять три) грн.</w:t>
      </w:r>
    </w:p>
    <w:p w:rsidR="00823346" w:rsidRDefault="00823346" w:rsidP="00823346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90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9"/>
        <w:gridCol w:w="7771"/>
      </w:tblGrid>
      <w:tr w:rsidR="00823346" w:rsidTr="00823346">
        <w:trPr>
          <w:trHeight w:val="375"/>
        </w:trPr>
        <w:tc>
          <w:tcPr>
            <w:tcW w:w="8215" w:type="dxa"/>
            <w:hideMark/>
          </w:tcPr>
          <w:p w:rsidR="00823346" w:rsidRPr="00E0749F" w:rsidRDefault="00823346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Чернівецький  міський голова</w:t>
            </w:r>
            <w:bookmarkStart w:id="0" w:name="_GoBack"/>
            <w:bookmarkEnd w:id="0"/>
          </w:p>
        </w:tc>
        <w:tc>
          <w:tcPr>
            <w:tcW w:w="7768" w:type="dxa"/>
            <w:hideMark/>
          </w:tcPr>
          <w:p w:rsidR="00823346" w:rsidRDefault="00823346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О.Каспрук</w:t>
            </w:r>
          </w:p>
        </w:tc>
      </w:tr>
    </w:tbl>
    <w:p w:rsidR="00823346" w:rsidRDefault="00823346" w:rsidP="00823346"/>
    <w:p w:rsidR="00823346" w:rsidRPr="00CE4ADF" w:rsidRDefault="00823346" w:rsidP="00CE4ADF">
      <w:pPr>
        <w:pStyle w:val="a6"/>
        <w:ind w:left="10915"/>
        <w:rPr>
          <w:lang w:val="uk-UA"/>
        </w:rPr>
      </w:pPr>
    </w:p>
    <w:sectPr w:rsidR="00823346" w:rsidRPr="00CE4ADF" w:rsidSect="00823346">
      <w:pgSz w:w="16840" w:h="11907" w:orient="landscape" w:code="9"/>
      <w:pgMar w:top="851" w:right="1134" w:bottom="709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1E" w:rsidRDefault="0009351E">
      <w:r>
        <w:separator/>
      </w:r>
    </w:p>
  </w:endnote>
  <w:endnote w:type="continuationSeparator" w:id="0">
    <w:p w:rsidR="0009351E" w:rsidRDefault="0009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1E" w:rsidRDefault="0009351E">
      <w:r>
        <w:separator/>
      </w:r>
    </w:p>
  </w:footnote>
  <w:footnote w:type="continuationSeparator" w:id="0">
    <w:p w:rsidR="0009351E" w:rsidRDefault="00093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749F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06719"/>
    <w:rsid w:val="00010920"/>
    <w:rsid w:val="00013526"/>
    <w:rsid w:val="00014AFF"/>
    <w:rsid w:val="00016EE8"/>
    <w:rsid w:val="000213A2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9351E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3346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0749F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CB84A1"/>
  <w15:chartTrackingRefBased/>
  <w15:docId w15:val="{D03CB1E0-613F-40B2-9694-2B7C81DE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link w:val="21"/>
    <w:pPr>
      <w:widowControl/>
      <w:jc w:val="both"/>
    </w:pPr>
    <w:rPr>
      <w:sz w:val="28"/>
      <w:szCs w:val="28"/>
    </w:rPr>
  </w:style>
  <w:style w:type="paragraph" w:styleId="22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3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823346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2018-05-14T07:06:00Z</cp:lastPrinted>
  <dcterms:created xsi:type="dcterms:W3CDTF">2018-05-14T12:33:00Z</dcterms:created>
  <dcterms:modified xsi:type="dcterms:W3CDTF">2018-05-14T12:33:00Z</dcterms:modified>
</cp:coreProperties>
</file>