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E0" w:rsidRDefault="00D360E0">
      <w:pPr>
        <w:jc w:val="center"/>
      </w:pPr>
      <w:bookmarkStart w:id="0" w:name="_GoBack"/>
      <w:bookmarkEnd w:id="0"/>
    </w:p>
    <w:p w:rsidR="00D360E0" w:rsidRDefault="00D360E0">
      <w:pPr>
        <w:jc w:val="center"/>
      </w:pPr>
    </w:p>
    <w:p w:rsidR="00D360E0" w:rsidRDefault="00D360E0">
      <w:pPr>
        <w:jc w:val="center"/>
      </w:pPr>
    </w:p>
    <w:p w:rsidR="00D360E0" w:rsidRDefault="00D360E0">
      <w:pPr>
        <w:jc w:val="center"/>
      </w:pPr>
    </w:p>
    <w:p w:rsidR="004C1AD2" w:rsidRDefault="009516E4" w:rsidP="00D360E0">
      <w:pPr>
        <w:jc w:val="center"/>
      </w:pPr>
      <w:r>
        <w:rPr>
          <w:noProof/>
          <w:lang w:val="ru-RU"/>
        </w:rPr>
        <w:drawing>
          <wp:inline distT="0" distB="0" distL="0" distR="0">
            <wp:extent cx="46609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DA6CCD" w:rsidRDefault="0033088A" w:rsidP="008816F2">
      <w:pPr>
        <w:widowControl/>
        <w:jc w:val="both"/>
        <w:rPr>
          <w:sz w:val="28"/>
          <w:szCs w:val="28"/>
          <w:lang w:val="ru-RU"/>
        </w:rPr>
      </w:pPr>
      <w:r>
        <w:rPr>
          <w:sz w:val="28"/>
          <w:szCs w:val="28"/>
          <w:u w:val="single"/>
        </w:rPr>
        <w:t>2</w:t>
      </w:r>
      <w:r w:rsidR="00DA6CCD" w:rsidRPr="00DA6CCD">
        <w:rPr>
          <w:sz w:val="28"/>
          <w:szCs w:val="28"/>
          <w:u w:val="single"/>
          <w:lang w:val="ru-RU"/>
        </w:rPr>
        <w:t>8</w:t>
      </w:r>
      <w:r w:rsidR="008816F2" w:rsidRPr="001B30B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</w:t>
      </w:r>
      <w:r w:rsidR="00DA6CCD" w:rsidRPr="00DA6CCD">
        <w:rPr>
          <w:sz w:val="28"/>
          <w:szCs w:val="28"/>
          <w:u w:val="single"/>
          <w:lang w:val="ru-RU"/>
        </w:rPr>
        <w:t>3</w:t>
      </w:r>
      <w:r w:rsidR="008816F2" w:rsidRPr="001B30BA">
        <w:rPr>
          <w:sz w:val="28"/>
          <w:szCs w:val="28"/>
          <w:u w:val="single"/>
        </w:rPr>
        <w:t>.201</w:t>
      </w:r>
      <w:r w:rsidR="00DA6CCD" w:rsidRPr="00DA6CCD">
        <w:rPr>
          <w:sz w:val="28"/>
          <w:szCs w:val="28"/>
          <w:u w:val="single"/>
          <w:lang w:val="ru-RU"/>
        </w:rPr>
        <w:t>7</w:t>
      </w:r>
      <w:r w:rsidR="006B3FDA">
        <w:rPr>
          <w:sz w:val="28"/>
          <w:szCs w:val="28"/>
        </w:rPr>
        <w:t xml:space="preserve"> </w:t>
      </w:r>
      <w:r w:rsidR="008816F2" w:rsidRPr="001B30BA">
        <w:rPr>
          <w:sz w:val="28"/>
          <w:szCs w:val="28"/>
        </w:rPr>
        <w:t>№</w:t>
      </w:r>
      <w:r w:rsidR="001B30BA" w:rsidRPr="00D657E3">
        <w:rPr>
          <w:sz w:val="28"/>
          <w:szCs w:val="28"/>
        </w:rPr>
        <w:t xml:space="preserve"> </w:t>
      </w:r>
      <w:r w:rsidR="00DA6CCD" w:rsidRPr="00F40DD7">
        <w:rPr>
          <w:sz w:val="28"/>
          <w:szCs w:val="28"/>
          <w:lang w:val="ru-RU"/>
        </w:rPr>
        <w:t>_______</w:t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</w:r>
      <w:r w:rsidR="0034749A">
        <w:rPr>
          <w:sz w:val="28"/>
          <w:szCs w:val="28"/>
        </w:rPr>
        <w:tab/>
        <w:t xml:space="preserve">              </w:t>
      </w:r>
      <w:r w:rsidR="00687462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  м. Чернівці</w:t>
      </w:r>
    </w:p>
    <w:p w:rsidR="00DA6CCD" w:rsidRPr="00DA6CCD" w:rsidRDefault="00DA6CCD" w:rsidP="008816F2">
      <w:pPr>
        <w:widowControl/>
        <w:jc w:val="both"/>
        <w:rPr>
          <w:sz w:val="28"/>
          <w:szCs w:val="28"/>
          <w:lang w:val="ru-RU"/>
        </w:rPr>
      </w:pPr>
    </w:p>
    <w:p w:rsidR="00C4040D" w:rsidRDefault="00D97A2B" w:rsidP="00D97A2B">
      <w:pPr>
        <w:pStyle w:val="caaieiaie1"/>
        <w:keepNext w:val="0"/>
        <w:widowControl/>
      </w:pPr>
      <w:r>
        <w:t xml:space="preserve">     </w:t>
      </w:r>
      <w:r w:rsidR="00DA6CCD">
        <w:t>П</w:t>
      </w:r>
      <w:r>
        <w:t>ро надання</w:t>
      </w:r>
      <w:r>
        <w:rPr>
          <w:lang w:val="ru-RU"/>
        </w:rPr>
        <w:t xml:space="preserve"> </w:t>
      </w:r>
      <w:r>
        <w:t xml:space="preserve">згоди </w:t>
      </w:r>
      <w:r w:rsidR="00C4040D">
        <w:t xml:space="preserve">на здійснення невід’ємних </w:t>
      </w:r>
      <w:r>
        <w:t xml:space="preserve">                                                                       </w:t>
      </w:r>
    </w:p>
    <w:p w:rsidR="00C4040D" w:rsidRPr="00621805" w:rsidRDefault="00D97A2B" w:rsidP="00E0235E">
      <w:pPr>
        <w:pStyle w:val="caaieiaie1"/>
        <w:keepNext w:val="0"/>
        <w:widowControl/>
      </w:pPr>
      <w:r>
        <w:t xml:space="preserve">        </w:t>
      </w:r>
      <w:r w:rsidR="0048169B">
        <w:rPr>
          <w:lang w:val="ru-RU"/>
        </w:rPr>
        <w:t xml:space="preserve">   </w:t>
      </w:r>
      <w:r>
        <w:t xml:space="preserve">поліпшень </w:t>
      </w:r>
      <w:r w:rsidR="00C4040D">
        <w:t>об’єкт</w:t>
      </w:r>
      <w:r w:rsidRPr="00D97A2B">
        <w:t>а</w:t>
      </w:r>
      <w:r w:rsidR="00C4040D">
        <w:t xml:space="preserve"> оренди за рахунок </w:t>
      </w:r>
      <w:r w:rsidR="00C4040D" w:rsidRPr="00621805">
        <w:t>власних коштів</w:t>
      </w:r>
      <w:r w:rsidR="00495FB6" w:rsidRPr="00495FB6">
        <w:t xml:space="preserve">     </w:t>
      </w:r>
      <w:r w:rsidR="0048169B">
        <w:rPr>
          <w:lang w:val="ru-RU"/>
        </w:rPr>
        <w:t xml:space="preserve">                                                              </w:t>
      </w:r>
    </w:p>
    <w:p w:rsidR="00DA6CCD" w:rsidRDefault="00DA6CCD" w:rsidP="00DA6CCD">
      <w:pPr>
        <w:pStyle w:val="caaieiaie1"/>
        <w:keepNext w:val="0"/>
        <w:widowControl/>
      </w:pPr>
      <w:r>
        <w:t>та</w:t>
      </w:r>
      <w:r w:rsidRPr="00025031">
        <w:t xml:space="preserve"> змен</w:t>
      </w:r>
      <w:r w:rsidR="00025031" w:rsidRPr="00025031">
        <w:t>ше</w:t>
      </w:r>
      <w:r w:rsidRPr="00025031">
        <w:t>н</w:t>
      </w:r>
      <w:r w:rsidR="00025031" w:rsidRPr="00025031">
        <w:t>н</w:t>
      </w:r>
      <w:r w:rsidRPr="00025031">
        <w:t>я</w:t>
      </w:r>
      <w:r w:rsidRPr="006B168D">
        <w:rPr>
          <w:lang w:val="ru-RU"/>
        </w:rPr>
        <w:t xml:space="preserve"> </w:t>
      </w:r>
      <w:r>
        <w:t>нарахувань з орендної плати на суму витрат,</w:t>
      </w:r>
    </w:p>
    <w:p w:rsidR="00DA6CCD" w:rsidRPr="001A0F15" w:rsidRDefault="00DA6CCD" w:rsidP="00DA6CCD">
      <w:pPr>
        <w:pStyle w:val="caaieiaie1"/>
        <w:keepNext w:val="0"/>
        <w:widowControl/>
      </w:pPr>
      <w:r>
        <w:t>по</w:t>
      </w:r>
      <w:r w:rsidR="00F40DD7">
        <w:t>несену на ремонт фасаду будівлі</w:t>
      </w:r>
    </w:p>
    <w:p w:rsidR="005761DC" w:rsidRPr="00F40DD7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40DD7">
        <w:rPr>
          <w:sz w:val="28"/>
          <w:szCs w:val="28"/>
        </w:rPr>
        <w:t>,</w:t>
      </w:r>
      <w:r w:rsidR="00891782">
        <w:rPr>
          <w:sz w:val="28"/>
          <w:szCs w:val="28"/>
        </w:rPr>
        <w:t xml:space="preserve"> зі змінами від 30.06.2016р. № 276,</w:t>
      </w:r>
      <w:r w:rsidR="00B334D3">
        <w:rPr>
          <w:sz w:val="28"/>
          <w:szCs w:val="28"/>
        </w:rPr>
        <w:t xml:space="preserve"> </w:t>
      </w:r>
      <w:r w:rsidR="00D4758D">
        <w:rPr>
          <w:sz w:val="28"/>
          <w:szCs w:val="28"/>
        </w:rPr>
        <w:t xml:space="preserve">Положення про порядок відшкодування витрат орендарям, які за власні кошти виконали роботи з ремонту фасадів та покрівель будівель, що є комунальною власністю територіальної громади </w:t>
      </w:r>
      <w:r w:rsidR="00F40DD7">
        <w:rPr>
          <w:sz w:val="28"/>
          <w:szCs w:val="28"/>
        </w:rPr>
        <w:t xml:space="preserve">     </w:t>
      </w:r>
      <w:r w:rsidR="00D4758D">
        <w:rPr>
          <w:sz w:val="28"/>
          <w:szCs w:val="28"/>
        </w:rPr>
        <w:t xml:space="preserve">м. Чернівців, затвердженого рішенням міської ради </w:t>
      </w:r>
      <w:r w:rsidR="00D4758D">
        <w:rPr>
          <w:sz w:val="28"/>
          <w:szCs w:val="28"/>
          <w:lang w:val="en-US"/>
        </w:rPr>
        <w:t>V</w:t>
      </w:r>
      <w:r w:rsidR="00D4758D">
        <w:rPr>
          <w:sz w:val="28"/>
          <w:szCs w:val="28"/>
        </w:rPr>
        <w:t xml:space="preserve">І скликання від 31.03.2011р. № 93, зі змінами від 30.06.2016р. №275, 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розглянувши заяв</w:t>
      </w:r>
      <w:r w:rsidR="00DA6CCD">
        <w:rPr>
          <w:sz w:val="28"/>
          <w:szCs w:val="28"/>
        </w:rPr>
        <w:t>и юридичних осі</w:t>
      </w:r>
      <w:r w:rsidR="00A41CB6">
        <w:rPr>
          <w:sz w:val="28"/>
          <w:szCs w:val="28"/>
        </w:rPr>
        <w:t>б, враховуючи виснов</w:t>
      </w:r>
      <w:r w:rsidR="00A41CB6" w:rsidRPr="00A41CB6">
        <w:rPr>
          <w:sz w:val="28"/>
          <w:szCs w:val="28"/>
        </w:rPr>
        <w:t xml:space="preserve">ок </w:t>
      </w:r>
      <w:r w:rsidR="00C4040D">
        <w:rPr>
          <w:sz w:val="28"/>
          <w:szCs w:val="28"/>
        </w:rPr>
        <w:t>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</w:t>
      </w:r>
      <w:r w:rsidR="00D4758D">
        <w:rPr>
          <w:sz w:val="28"/>
          <w:szCs w:val="28"/>
        </w:rPr>
        <w:t xml:space="preserve">них поліпшень нежилих приміщень, </w:t>
      </w:r>
      <w:r w:rsidR="00C4040D">
        <w:rPr>
          <w:sz w:val="28"/>
          <w:szCs w:val="28"/>
        </w:rPr>
        <w:t>кошторис на проведення цих робіт,</w:t>
      </w:r>
      <w:r w:rsidR="00DA6CCD">
        <w:rPr>
          <w:sz w:val="28"/>
          <w:szCs w:val="28"/>
        </w:rPr>
        <w:t xml:space="preserve"> акт робочої комісії з прийняття </w:t>
      </w:r>
      <w:r w:rsidR="00F40DD7">
        <w:rPr>
          <w:sz w:val="28"/>
          <w:szCs w:val="28"/>
        </w:rPr>
        <w:t>ремонтно-опоряджувальних робіт,</w:t>
      </w:r>
      <w:r w:rsidR="00DA6CCD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A625C1" w:rsidRPr="000C66CB" w:rsidRDefault="00A625C1" w:rsidP="008816F2">
      <w:pPr>
        <w:tabs>
          <w:tab w:val="left" w:pos="709"/>
        </w:tabs>
        <w:jc w:val="both"/>
        <w:rPr>
          <w:sz w:val="28"/>
          <w:szCs w:val="28"/>
        </w:rPr>
      </w:pPr>
    </w:p>
    <w:p w:rsidR="008816F2" w:rsidRDefault="00D97A2B" w:rsidP="0012509C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</w:t>
      </w:r>
      <w:r w:rsidR="008816F2">
        <w:rPr>
          <w:b/>
          <w:bCs/>
          <w:sz w:val="28"/>
          <w:szCs w:val="28"/>
        </w:rPr>
        <w:t>:</w:t>
      </w:r>
    </w:p>
    <w:p w:rsidR="005761DC" w:rsidRPr="000C66CB" w:rsidRDefault="005761DC" w:rsidP="0012509C">
      <w:pPr>
        <w:widowControl/>
        <w:rPr>
          <w:b/>
          <w:bCs/>
          <w:sz w:val="28"/>
          <w:szCs w:val="28"/>
        </w:rPr>
      </w:pPr>
    </w:p>
    <w:p w:rsidR="00C4040D" w:rsidRPr="0034749A" w:rsidRDefault="00C4040D" w:rsidP="0048169B">
      <w:pPr>
        <w:pStyle w:val="20"/>
        <w:tabs>
          <w:tab w:val="left" w:pos="709"/>
        </w:tabs>
      </w:pPr>
      <w:r>
        <w:rPr>
          <w:b/>
          <w:bCs/>
        </w:rPr>
        <w:t xml:space="preserve">         </w:t>
      </w:r>
      <w:r w:rsidR="0048169B">
        <w:rPr>
          <w:b/>
          <w:bCs/>
        </w:rPr>
        <w:t xml:space="preserve"> </w:t>
      </w:r>
      <w:r>
        <w:rPr>
          <w:b/>
          <w:bCs/>
        </w:rPr>
        <w:t>1.</w:t>
      </w:r>
      <w:r w:rsidRPr="000C5E45">
        <w:t xml:space="preserve"> </w:t>
      </w:r>
      <w:r>
        <w:t>Надати згоду на здійснення за рахунок власних коштів невід’ємних поліпшень об’єкт</w:t>
      </w:r>
      <w:r w:rsidR="00D97A2B">
        <w:t>а</w:t>
      </w:r>
      <w:r>
        <w:t xml:space="preserve"> оренди відповідно до кошторис</w:t>
      </w:r>
      <w:r w:rsidR="00D97A2B">
        <w:t>у</w:t>
      </w:r>
      <w:r>
        <w:t xml:space="preserve"> і в межах сум</w:t>
      </w:r>
      <w:r w:rsidR="00D97A2B">
        <w:t>и</w:t>
      </w:r>
      <w:r>
        <w:t xml:space="preserve">, </w:t>
      </w:r>
      <w:r w:rsidR="00D97A2B">
        <w:t>затвердженої</w:t>
      </w:r>
      <w:r>
        <w:t xml:space="preserve"> департаментом економіки міської ради, та переліку невід’ємних поліпшень </w:t>
      </w:r>
      <w:r w:rsidR="00F40DD7">
        <w:rPr>
          <w:b/>
          <w:bCs/>
        </w:rPr>
        <w:t>т</w:t>
      </w:r>
      <w:r w:rsidR="003911E2">
        <w:rPr>
          <w:b/>
          <w:bCs/>
        </w:rPr>
        <w:t xml:space="preserve">овариству з додатковою відповідальністю «Трембіта»          </w:t>
      </w:r>
      <w:r>
        <w:t>(</w:t>
      </w:r>
      <w:r w:rsidR="003911E2">
        <w:t xml:space="preserve">код ЄДРПОУ </w:t>
      </w:r>
      <w:r w:rsidR="00174682">
        <w:rPr>
          <w:lang w:val="en-US"/>
        </w:rPr>
        <w:t>…</w:t>
      </w:r>
      <w:r w:rsidR="00F072FD">
        <w:t>) за</w:t>
      </w:r>
      <w:r w:rsidR="00F072FD" w:rsidRPr="00AA65A2">
        <w:t xml:space="preserve"> </w:t>
      </w:r>
      <w:r w:rsidR="00F072FD">
        <w:t>адресою</w:t>
      </w:r>
      <w:r w:rsidR="006B3FDA">
        <w:t xml:space="preserve"> </w:t>
      </w:r>
      <w:r w:rsidR="00654485">
        <w:t xml:space="preserve">м. Чернівці, </w:t>
      </w:r>
      <w:r w:rsidR="003911E2">
        <w:t>вул. Головна, 66</w:t>
      </w:r>
      <w:r w:rsidR="00AA65A2">
        <w:t xml:space="preserve"> </w:t>
      </w:r>
      <w:r>
        <w:t>(</w:t>
      </w:r>
      <w:r w:rsidR="003911E2">
        <w:t>під готель</w:t>
      </w:r>
      <w:r w:rsidR="006B3FDA">
        <w:t xml:space="preserve">) </w:t>
      </w:r>
      <w:r w:rsidR="00D97A2B">
        <w:t xml:space="preserve">у </w:t>
      </w:r>
      <w:r w:rsidR="00F072FD">
        <w:t>межах суми</w:t>
      </w:r>
      <w:r w:rsidR="00F072FD" w:rsidRPr="00AA65A2">
        <w:t xml:space="preserve"> </w:t>
      </w:r>
      <w:r w:rsidR="000648B6">
        <w:rPr>
          <w:lang w:val="ru-RU"/>
        </w:rPr>
        <w:t>987</w:t>
      </w:r>
      <w:r w:rsidR="009B7EE2" w:rsidRPr="00627BE3">
        <w:rPr>
          <w:lang w:val="ru-RU"/>
        </w:rPr>
        <w:t>00</w:t>
      </w:r>
      <w:r w:rsidR="00627BE3" w:rsidRPr="00627BE3">
        <w:rPr>
          <w:lang w:val="ru-RU"/>
        </w:rPr>
        <w:t>5</w:t>
      </w:r>
      <w:r w:rsidRPr="00627BE3">
        <w:t>(</w:t>
      </w:r>
      <w:r w:rsidR="00627BE3" w:rsidRPr="00627BE3">
        <w:rPr>
          <w:b/>
          <w:bCs/>
        </w:rPr>
        <w:t>дев’ятсот вісімдесят сім тисяч</w:t>
      </w:r>
      <w:r w:rsidR="008F3542">
        <w:rPr>
          <w:b/>
          <w:bCs/>
        </w:rPr>
        <w:t xml:space="preserve"> п’ять</w:t>
      </w:r>
      <w:r w:rsidRPr="00627BE3">
        <w:t>)</w:t>
      </w:r>
      <w:r>
        <w:t xml:space="preserve"> грн.</w:t>
      </w:r>
      <w:r w:rsidR="0048169B" w:rsidRPr="0048169B">
        <w:t xml:space="preserve"> </w:t>
      </w:r>
      <w:r w:rsidR="0048169B">
        <w:t>згідно з додатком</w:t>
      </w:r>
      <w:r w:rsidR="0048169B" w:rsidRPr="0048169B">
        <w:t>.</w:t>
      </w:r>
      <w:r>
        <w:t xml:space="preserve"> </w:t>
      </w:r>
    </w:p>
    <w:p w:rsidR="0048169B" w:rsidRPr="000C66CB" w:rsidRDefault="0048169B" w:rsidP="0048169B">
      <w:pPr>
        <w:pStyle w:val="20"/>
        <w:tabs>
          <w:tab w:val="left" w:pos="709"/>
          <w:tab w:val="left" w:pos="851"/>
        </w:tabs>
      </w:pPr>
    </w:p>
    <w:p w:rsidR="0048169B" w:rsidRPr="00003DF6" w:rsidRDefault="0048169B" w:rsidP="0048169B">
      <w:pPr>
        <w:widowControl/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          2</w:t>
      </w:r>
      <w:r w:rsidRPr="000C3B80">
        <w:rPr>
          <w:b/>
          <w:bCs/>
          <w:sz w:val="28"/>
          <w:szCs w:val="28"/>
        </w:rPr>
        <w:t>.</w:t>
      </w:r>
      <w:r w:rsidRPr="000C3B80">
        <w:rPr>
          <w:sz w:val="28"/>
          <w:szCs w:val="28"/>
        </w:rPr>
        <w:t xml:space="preserve"> На період проведення ремонтних робіт орендар</w:t>
      </w:r>
      <w:r>
        <w:rPr>
          <w:sz w:val="28"/>
          <w:szCs w:val="28"/>
        </w:rPr>
        <w:t>ю</w:t>
      </w:r>
      <w:r w:rsidRPr="006B3FDA">
        <w:rPr>
          <w:sz w:val="28"/>
          <w:szCs w:val="28"/>
        </w:rPr>
        <w:t xml:space="preserve">, зазначеному в </w:t>
      </w:r>
      <w:r w:rsidR="00003DF6" w:rsidRPr="006B3FDA">
        <w:rPr>
          <w:sz w:val="28"/>
          <w:szCs w:val="28"/>
        </w:rPr>
        <w:t xml:space="preserve">    </w:t>
      </w:r>
      <w:r w:rsidRPr="006B3FDA">
        <w:rPr>
          <w:sz w:val="28"/>
          <w:szCs w:val="28"/>
        </w:rPr>
        <w:t>пу</w:t>
      </w:r>
      <w:r w:rsidR="00003DF6" w:rsidRPr="006B3FDA">
        <w:rPr>
          <w:sz w:val="28"/>
          <w:szCs w:val="28"/>
        </w:rPr>
        <w:t xml:space="preserve">нкті </w:t>
      </w:r>
      <w:r w:rsidRPr="006B3FDA">
        <w:rPr>
          <w:sz w:val="28"/>
          <w:szCs w:val="28"/>
        </w:rPr>
        <w:t xml:space="preserve">1, </w:t>
      </w:r>
      <w:r w:rsidRPr="000C3B80">
        <w:rPr>
          <w:sz w:val="28"/>
          <w:szCs w:val="28"/>
        </w:rPr>
        <w:t>укласти догов</w:t>
      </w:r>
      <w:r>
        <w:rPr>
          <w:sz w:val="28"/>
          <w:szCs w:val="28"/>
        </w:rPr>
        <w:t>і</w:t>
      </w:r>
      <w:r w:rsidRPr="000C3B80">
        <w:rPr>
          <w:sz w:val="28"/>
          <w:szCs w:val="28"/>
        </w:rPr>
        <w:t xml:space="preserve">р зі спеціалізованими організаціями на вивіз будівельного сміття. </w:t>
      </w:r>
    </w:p>
    <w:p w:rsidR="003911E2" w:rsidRDefault="0048169B" w:rsidP="003911E2">
      <w:pPr>
        <w:pStyle w:val="20"/>
        <w:tabs>
          <w:tab w:val="left" w:pos="426"/>
        </w:tabs>
      </w:pPr>
      <w:r>
        <w:t xml:space="preserve"> </w:t>
      </w:r>
      <w:r w:rsidR="003911E2">
        <w:t xml:space="preserve">         </w:t>
      </w:r>
    </w:p>
    <w:p w:rsidR="00886AB6" w:rsidRDefault="003911E2" w:rsidP="003911E2">
      <w:pPr>
        <w:pStyle w:val="20"/>
        <w:tabs>
          <w:tab w:val="left" w:pos="426"/>
        </w:tabs>
      </w:pPr>
      <w:r>
        <w:lastRenderedPageBreak/>
        <w:tab/>
      </w:r>
      <w:r>
        <w:tab/>
      </w:r>
      <w:r w:rsidRPr="003911E2">
        <w:rPr>
          <w:b/>
        </w:rPr>
        <w:t xml:space="preserve">3. </w:t>
      </w:r>
      <w:r>
        <w:t xml:space="preserve">Перед початком проведення робіт, що відносяться до капітального ремонту, зареєструвати в </w:t>
      </w:r>
      <w:r w:rsidR="00025031">
        <w:t>і</w:t>
      </w:r>
      <w:r>
        <w:t>нспекці</w:t>
      </w:r>
      <w:r w:rsidR="00025031">
        <w:t>ї</w:t>
      </w:r>
      <w:r>
        <w:t xml:space="preserve"> дер</w:t>
      </w:r>
      <w:r w:rsidR="00025031">
        <w:t>ж</w:t>
      </w:r>
      <w:r>
        <w:t xml:space="preserve">авного архітектурно-будівельного контролю міської ради, декларацію про початок виконання будівельних робіт. </w:t>
      </w:r>
    </w:p>
    <w:p w:rsidR="00886AB6" w:rsidRDefault="00886AB6" w:rsidP="003911E2">
      <w:pPr>
        <w:pStyle w:val="20"/>
        <w:tabs>
          <w:tab w:val="left" w:pos="426"/>
        </w:tabs>
      </w:pPr>
    </w:p>
    <w:p w:rsidR="00E0235E" w:rsidRDefault="00886AB6" w:rsidP="00E0235E">
      <w:pPr>
        <w:pStyle w:val="20"/>
        <w:tabs>
          <w:tab w:val="left" w:pos="426"/>
        </w:tabs>
      </w:pPr>
      <w:r>
        <w:rPr>
          <w:b/>
          <w:bCs/>
        </w:rPr>
        <w:tab/>
        <w:t xml:space="preserve">    4</w:t>
      </w:r>
      <w:r w:rsidR="00E0235E">
        <w:rPr>
          <w:b/>
          <w:bCs/>
        </w:rPr>
        <w:t>.</w:t>
      </w:r>
      <w:r w:rsidR="00E0235E">
        <w:t xml:space="preserve"> Департаменту економіки міської ради за умови прийняття за акт</w:t>
      </w:r>
      <w:r w:rsidR="00F40DD7">
        <w:t>ом</w:t>
      </w:r>
      <w:r w:rsidR="00E0235E">
        <w:t xml:space="preserve"> приймання-переда</w:t>
      </w:r>
      <w:r w:rsidR="00F40DD7">
        <w:t>ння</w:t>
      </w:r>
      <w:r w:rsidR="00E0235E">
        <w:t xml:space="preserve"> здійснених невід’ємних поліпшень на підставі платіжних документів, що підтверджують проведені орендарем розрахунки за виконані роботи та придбані будівельні матеріали, врахувати його витрати у межах суми, зазначеної у пункті 1 цього рішення, п</w:t>
      </w:r>
      <w:r w:rsidR="00E0235E" w:rsidRPr="00B74C4E">
        <w:t>ри приватизації</w:t>
      </w:r>
      <w:r w:rsidR="00E0235E">
        <w:t xml:space="preserve"> об’єкта.</w:t>
      </w:r>
    </w:p>
    <w:p w:rsidR="00E0235E" w:rsidRPr="0048169B" w:rsidRDefault="00E0235E" w:rsidP="000C66CB">
      <w:pPr>
        <w:pStyle w:val="20"/>
        <w:tabs>
          <w:tab w:val="left" w:pos="426"/>
        </w:tabs>
      </w:pPr>
    </w:p>
    <w:p w:rsidR="00886AB6" w:rsidRDefault="00132B40" w:rsidP="00886AB6">
      <w:pPr>
        <w:pStyle w:val="20"/>
        <w:tabs>
          <w:tab w:val="left" w:pos="720"/>
        </w:tabs>
      </w:pPr>
      <w:r w:rsidRPr="000C3B80">
        <w:rPr>
          <w:b/>
          <w:bCs/>
        </w:rPr>
        <w:t xml:space="preserve"> </w:t>
      </w:r>
      <w:r w:rsidR="00301333" w:rsidRPr="000C3B80">
        <w:rPr>
          <w:b/>
          <w:bCs/>
        </w:rPr>
        <w:t xml:space="preserve">  </w:t>
      </w:r>
      <w:r w:rsidRPr="000C3B80">
        <w:rPr>
          <w:b/>
          <w:bCs/>
        </w:rPr>
        <w:t xml:space="preserve"> </w:t>
      </w:r>
      <w:r w:rsidR="000C3B80" w:rsidRPr="000C3B80">
        <w:rPr>
          <w:b/>
          <w:bCs/>
        </w:rPr>
        <w:t xml:space="preserve">   </w:t>
      </w:r>
      <w:r w:rsidR="00886AB6">
        <w:rPr>
          <w:b/>
          <w:bCs/>
        </w:rPr>
        <w:t xml:space="preserve">   5.</w:t>
      </w:r>
      <w:r w:rsidR="00886AB6">
        <w:t xml:space="preserve"> Департаменту економіки міської ради на підставі акта робочої комісії з приймання ремонтно-опоряджувальних робіт та платіжних документів, що підтверджують проведені орендарем розрахунки за придбані матеріали та виконані роботи, аудиторського висновку про фактичні результати погоджених процедур щодо джерел фінансування виконаних робіт </w:t>
      </w:r>
      <w:r w:rsidR="00F40DD7">
        <w:t>з</w:t>
      </w:r>
      <w:r w:rsidR="00886AB6">
        <w:t xml:space="preserve"> поліпшенн</w:t>
      </w:r>
      <w:r w:rsidR="00F40DD7">
        <w:t>я</w:t>
      </w:r>
      <w:r w:rsidR="00886AB6">
        <w:t xml:space="preserve"> об’єкта оренди, що є комунальною власністю територіальної громади м. Чернівців, зменшити нарахування з орендної плати </w:t>
      </w:r>
      <w:r w:rsidR="00F40DD7">
        <w:rPr>
          <w:b/>
          <w:bCs/>
        </w:rPr>
        <w:t>г</w:t>
      </w:r>
      <w:r w:rsidR="00886AB6">
        <w:rPr>
          <w:b/>
          <w:bCs/>
        </w:rPr>
        <w:t xml:space="preserve">ромадській організації «Літературний целанівський центр»  </w:t>
      </w:r>
      <w:r w:rsidR="00886AB6">
        <w:t xml:space="preserve">(код ЄДРПОУ </w:t>
      </w:r>
      <w:r w:rsidR="00174682" w:rsidRPr="00174682">
        <w:t>…</w:t>
      </w:r>
      <w:r w:rsidR="00886AB6">
        <w:t xml:space="preserve">) за адресою вул. Кобилянської Ольги, 51 у межах  суми </w:t>
      </w:r>
      <w:r w:rsidR="000648B6" w:rsidRPr="000648B6">
        <w:t>40500(сорок тисяч п’ятсот</w:t>
      </w:r>
      <w:r w:rsidR="00886AB6" w:rsidRPr="000648B6">
        <w:t>) грн.</w:t>
      </w:r>
    </w:p>
    <w:p w:rsidR="00D97A2B" w:rsidRDefault="000C66CB" w:rsidP="00D97A2B">
      <w:pPr>
        <w:widowControl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0C3B80" w:rsidRPr="000C3B80">
        <w:rPr>
          <w:b/>
          <w:bCs/>
          <w:sz w:val="28"/>
          <w:szCs w:val="28"/>
        </w:rPr>
        <w:t xml:space="preserve"> </w:t>
      </w:r>
    </w:p>
    <w:p w:rsidR="00183C68" w:rsidRDefault="0016788E" w:rsidP="000D4280">
      <w:pPr>
        <w:pStyle w:val="20"/>
        <w:tabs>
          <w:tab w:val="left" w:pos="567"/>
        </w:tabs>
      </w:pPr>
      <w:r>
        <w:t xml:space="preserve"> </w:t>
      </w:r>
      <w:r w:rsidR="00AA65A2">
        <w:t xml:space="preserve">    </w:t>
      </w:r>
      <w:r w:rsidR="007C3BF6">
        <w:t xml:space="preserve">     </w:t>
      </w:r>
      <w:r w:rsidR="00886AB6">
        <w:rPr>
          <w:b/>
        </w:rPr>
        <w:t>6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>Рішення набирає чинності з дня 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0D4280">
      <w:pPr>
        <w:pStyle w:val="20"/>
        <w:tabs>
          <w:tab w:val="left" w:pos="426"/>
        </w:tabs>
      </w:pPr>
    </w:p>
    <w:p w:rsidR="00C4040D" w:rsidRPr="00482C75" w:rsidRDefault="00886AB6" w:rsidP="0048169B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D4280" w:rsidRPr="000D4280">
        <w:rPr>
          <w:b/>
          <w:bCs/>
          <w:sz w:val="28"/>
          <w:szCs w:val="28"/>
        </w:rPr>
        <w:t xml:space="preserve"> </w:t>
      </w:r>
      <w:r w:rsidR="0048169B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7</w:t>
      </w:r>
      <w:r w:rsidR="00C4040D" w:rsidRPr="00DB675C">
        <w:rPr>
          <w:b/>
          <w:bCs/>
          <w:sz w:val="28"/>
          <w:szCs w:val="28"/>
        </w:rPr>
        <w:t>.</w:t>
      </w:r>
      <w:r w:rsidR="000D4280" w:rsidRPr="000D4280">
        <w:rPr>
          <w:b/>
          <w:bCs/>
          <w:sz w:val="28"/>
          <w:szCs w:val="28"/>
          <w:lang w:val="ru-RU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C4040D">
        <w:rPr>
          <w:sz w:val="28"/>
          <w:szCs w:val="28"/>
        </w:rPr>
        <w:t>.</w:t>
      </w:r>
    </w:p>
    <w:p w:rsidR="00C4040D" w:rsidRPr="000C66CB" w:rsidRDefault="00C4040D" w:rsidP="00C4040D">
      <w:pPr>
        <w:widowControl/>
        <w:jc w:val="both"/>
        <w:rPr>
          <w:sz w:val="28"/>
          <w:szCs w:val="28"/>
        </w:rPr>
      </w:pPr>
      <w:r w:rsidRPr="000C66CB">
        <w:rPr>
          <w:sz w:val="28"/>
          <w:szCs w:val="28"/>
        </w:rPr>
        <w:t xml:space="preserve">         </w:t>
      </w:r>
    </w:p>
    <w:p w:rsidR="008C042B" w:rsidRPr="000C66CB" w:rsidRDefault="00AB5F0D" w:rsidP="0016788E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0C66CB">
        <w:rPr>
          <w:sz w:val="28"/>
          <w:szCs w:val="28"/>
        </w:rPr>
        <w:t xml:space="preserve"> </w:t>
      </w:r>
      <w:r w:rsidR="004C1AD2" w:rsidRPr="000C66CB">
        <w:rPr>
          <w:sz w:val="28"/>
          <w:szCs w:val="28"/>
        </w:rPr>
        <w:t xml:space="preserve">        </w:t>
      </w: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p w:rsidR="00886AB6" w:rsidRPr="000C66CB" w:rsidRDefault="00886AB6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0C66CB" w:rsidRDefault="000C66CB" w:rsidP="00EA03EC">
            <w:pPr>
              <w:rPr>
                <w:b/>
                <w:bCs/>
                <w:sz w:val="28"/>
                <w:szCs w:val="28"/>
              </w:rPr>
            </w:pPr>
          </w:p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654485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</w:t>
            </w:r>
          </w:p>
          <w:p w:rsidR="00BC189F" w:rsidRPr="00054656" w:rsidRDefault="000E3092" w:rsidP="00654485">
            <w:pPr>
              <w:tabs>
                <w:tab w:val="left" w:pos="2128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B39F7" w:rsidRDefault="001B39F7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</w:pPr>
    </w:p>
    <w:p w:rsidR="00C25C34" w:rsidRDefault="00C25C34" w:rsidP="001B3919">
      <w:pPr>
        <w:widowControl/>
        <w:jc w:val="both"/>
        <w:sectPr w:rsidR="00C25C34" w:rsidSect="000C66CB">
          <w:headerReference w:type="default" r:id="rId9"/>
          <w:footerReference w:type="default" r:id="rId10"/>
          <w:pgSz w:w="11907" w:h="16840" w:code="9"/>
          <w:pgMar w:top="289" w:right="709" w:bottom="567" w:left="1701" w:header="709" w:footer="709" w:gutter="0"/>
          <w:pgNumType w:start="1"/>
          <w:cols w:space="709"/>
          <w:titlePg/>
        </w:sectPr>
      </w:pPr>
    </w:p>
    <w:p w:rsidR="0016788E" w:rsidRDefault="000C3B80" w:rsidP="000C3B80">
      <w:pPr>
        <w:pStyle w:val="a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</w:t>
      </w:r>
      <w:r w:rsidR="00B334D3">
        <w:rPr>
          <w:b/>
          <w:sz w:val="28"/>
          <w:szCs w:val="28"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="00627BE3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627BE3">
        <w:rPr>
          <w:b/>
          <w:sz w:val="28"/>
          <w:szCs w:val="28"/>
          <w:lang w:val="uk-UA"/>
        </w:rPr>
        <w:t xml:space="preserve"> </w:t>
      </w:r>
      <w:r w:rsidR="0016788E">
        <w:rPr>
          <w:b/>
          <w:sz w:val="28"/>
          <w:szCs w:val="28"/>
          <w:lang w:val="uk-UA"/>
        </w:rPr>
        <w:t>Додаток</w:t>
      </w:r>
    </w:p>
    <w:p w:rsidR="001B39F7" w:rsidRPr="00485448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627BE3">
        <w:rPr>
          <w:b/>
          <w:sz w:val="28"/>
          <w:szCs w:val="28"/>
          <w:lang w:val="uk-UA"/>
        </w:rPr>
        <w:t xml:space="preserve"> </w:t>
      </w:r>
      <w:r w:rsidR="001B39F7"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485448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</w:t>
      </w:r>
      <w:r w:rsidR="00627BE3">
        <w:rPr>
          <w:b/>
          <w:sz w:val="28"/>
          <w:szCs w:val="28"/>
          <w:lang w:val="uk-UA"/>
        </w:rPr>
        <w:t xml:space="preserve"> </w:t>
      </w:r>
      <w:r w:rsidRPr="00485448">
        <w:rPr>
          <w:b/>
          <w:sz w:val="28"/>
          <w:szCs w:val="28"/>
          <w:lang w:val="uk-UA"/>
        </w:rPr>
        <w:t xml:space="preserve"> комітету міської ради                </w:t>
      </w:r>
    </w:p>
    <w:p w:rsidR="001B39F7" w:rsidRPr="00485448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025031" w:rsidRPr="00D04DD7">
        <w:rPr>
          <w:b/>
          <w:sz w:val="28"/>
          <w:szCs w:val="28"/>
          <w:u w:val="single"/>
          <w:lang w:val="uk-UA"/>
        </w:rPr>
        <w:t>28</w:t>
      </w:r>
      <w:r w:rsidRPr="00D04DD7">
        <w:rPr>
          <w:b/>
          <w:sz w:val="28"/>
          <w:szCs w:val="28"/>
          <w:u w:val="single"/>
          <w:lang w:val="uk-UA"/>
        </w:rPr>
        <w:t>.</w:t>
      </w:r>
      <w:r w:rsidR="00602597" w:rsidRPr="00D04DD7">
        <w:rPr>
          <w:b/>
          <w:sz w:val="28"/>
          <w:szCs w:val="28"/>
          <w:u w:val="single"/>
          <w:lang w:val="uk-UA"/>
        </w:rPr>
        <w:t>0</w:t>
      </w:r>
      <w:r w:rsidR="00025031" w:rsidRPr="00D04DD7">
        <w:rPr>
          <w:b/>
          <w:sz w:val="28"/>
          <w:szCs w:val="28"/>
          <w:u w:val="single"/>
          <w:lang w:val="uk-UA"/>
        </w:rPr>
        <w:t>3</w:t>
      </w:r>
      <w:r w:rsidRPr="00D04DD7">
        <w:rPr>
          <w:b/>
          <w:sz w:val="28"/>
          <w:szCs w:val="28"/>
          <w:u w:val="single"/>
          <w:lang w:val="uk-UA"/>
        </w:rPr>
        <w:t>.201</w:t>
      </w:r>
      <w:r w:rsidR="00025031" w:rsidRPr="00D04DD7">
        <w:rPr>
          <w:b/>
          <w:sz w:val="28"/>
          <w:szCs w:val="28"/>
          <w:u w:val="single"/>
          <w:lang w:val="uk-UA"/>
        </w:rPr>
        <w:t>7</w:t>
      </w:r>
      <w:r w:rsidRPr="00485448">
        <w:rPr>
          <w:b/>
          <w:sz w:val="28"/>
          <w:szCs w:val="28"/>
          <w:lang w:val="uk-UA"/>
        </w:rPr>
        <w:t xml:space="preserve">  № _____</w:t>
      </w:r>
    </w:p>
    <w:p w:rsidR="001B39F7" w:rsidRPr="00B334D3" w:rsidRDefault="001B39F7" w:rsidP="001B39F7">
      <w:pPr>
        <w:pStyle w:val="10"/>
        <w:rPr>
          <w:sz w:val="26"/>
          <w:szCs w:val="26"/>
        </w:rPr>
      </w:pPr>
      <w:r w:rsidRPr="00B334D3">
        <w:rPr>
          <w:sz w:val="26"/>
          <w:szCs w:val="26"/>
        </w:rPr>
        <w:t>ПЕРЕЛІК</w:t>
      </w:r>
    </w:p>
    <w:p w:rsidR="001B39F7" w:rsidRPr="00B334D3" w:rsidRDefault="001B39F7" w:rsidP="001B39F7">
      <w:pPr>
        <w:pStyle w:val="a6"/>
        <w:jc w:val="center"/>
        <w:rPr>
          <w:b/>
          <w:bCs/>
          <w:sz w:val="26"/>
          <w:szCs w:val="26"/>
          <w:lang w:val="uk-UA"/>
        </w:rPr>
      </w:pPr>
      <w:r w:rsidRPr="00B334D3">
        <w:rPr>
          <w:b/>
          <w:bCs/>
          <w:sz w:val="26"/>
          <w:szCs w:val="26"/>
          <w:lang w:val="uk-UA"/>
        </w:rPr>
        <w:t xml:space="preserve">невід’ємних поліпшень об’єктів оренди, на виконання яких надається згода </w:t>
      </w:r>
    </w:p>
    <w:p w:rsidR="001B39F7" w:rsidRPr="00B334D3" w:rsidRDefault="001B39F7" w:rsidP="001B39F7">
      <w:pPr>
        <w:pStyle w:val="a6"/>
        <w:jc w:val="center"/>
        <w:rPr>
          <w:b/>
          <w:bCs/>
          <w:sz w:val="26"/>
          <w:szCs w:val="26"/>
          <w:lang w:val="uk-UA"/>
        </w:rPr>
      </w:pPr>
    </w:p>
    <w:tbl>
      <w:tblPr>
        <w:tblW w:w="155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09"/>
        <w:gridCol w:w="3544"/>
        <w:gridCol w:w="3817"/>
        <w:gridCol w:w="1144"/>
        <w:gridCol w:w="1134"/>
        <w:gridCol w:w="1560"/>
        <w:gridCol w:w="1417"/>
      </w:tblGrid>
      <w:tr w:rsidR="001B39F7" w:rsidTr="000D57C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rPr>
                <w:sz w:val="26"/>
                <w:szCs w:val="26"/>
                <w:lang w:val="uk-UA"/>
              </w:rPr>
            </w:pPr>
            <w:r w:rsidRPr="00B334D3">
              <w:rPr>
                <w:sz w:val="26"/>
                <w:szCs w:val="26"/>
                <w:lang w:val="uk-UA"/>
              </w:rPr>
              <w:t xml:space="preserve">№ </w:t>
            </w:r>
          </w:p>
          <w:p w:rsidR="001B39F7" w:rsidRPr="00B334D3" w:rsidRDefault="001B39F7" w:rsidP="00E65769">
            <w:pPr>
              <w:pStyle w:val="a6"/>
              <w:rPr>
                <w:sz w:val="26"/>
                <w:szCs w:val="26"/>
                <w:lang w:val="uk-UA"/>
              </w:rPr>
            </w:pPr>
            <w:r w:rsidRPr="00B334D3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B334D3">
              <w:rPr>
                <w:sz w:val="26"/>
                <w:szCs w:val="26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B334D3">
              <w:rPr>
                <w:sz w:val="26"/>
                <w:szCs w:val="26"/>
              </w:rPr>
              <w:t>Адреса орендованого приміщення,</w:t>
            </w:r>
          </w:p>
          <w:p w:rsidR="001B39F7" w:rsidRPr="00B334D3" w:rsidRDefault="001B39F7" w:rsidP="00E65769">
            <w:pPr>
              <w:pStyle w:val="a6"/>
              <w:jc w:val="center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під що використовується</w:t>
            </w: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B334D3">
              <w:rPr>
                <w:sz w:val="26"/>
                <w:szCs w:val="26"/>
              </w:rPr>
              <w:t>Найменування невід’ємних поліпшень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0D4280">
            <w:pPr>
              <w:pStyle w:val="a6"/>
              <w:jc w:val="center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Оди-ниця</w:t>
            </w:r>
          </w:p>
          <w:p w:rsidR="001B39F7" w:rsidRPr="00B334D3" w:rsidRDefault="001B39F7" w:rsidP="000D4280">
            <w:pPr>
              <w:pStyle w:val="a6"/>
              <w:jc w:val="center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виміру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0D4280">
            <w:pPr>
              <w:pStyle w:val="a6"/>
              <w:jc w:val="center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Кіль-кість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jc w:val="center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Гранич</w:t>
            </w:r>
            <w:r w:rsidR="00772AD8" w:rsidRPr="00B334D3">
              <w:rPr>
                <w:sz w:val="26"/>
                <w:szCs w:val="26"/>
              </w:rPr>
              <w:t>на вар</w:t>
            </w:r>
            <w:r w:rsidRPr="00B334D3">
              <w:rPr>
                <w:sz w:val="26"/>
                <w:szCs w:val="26"/>
              </w:rPr>
              <w:t>тість</w:t>
            </w:r>
          </w:p>
          <w:p w:rsidR="001B39F7" w:rsidRPr="00B334D3" w:rsidRDefault="001B39F7" w:rsidP="00772AD8">
            <w:pPr>
              <w:pStyle w:val="a6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(тис.</w:t>
            </w:r>
            <w:r w:rsidR="00772AD8" w:rsidRPr="00B334D3">
              <w:rPr>
                <w:sz w:val="26"/>
                <w:szCs w:val="26"/>
                <w:lang w:val="uk-UA"/>
              </w:rPr>
              <w:t xml:space="preserve"> </w:t>
            </w:r>
            <w:r w:rsidRPr="00B334D3">
              <w:rPr>
                <w:sz w:val="26"/>
                <w:szCs w:val="26"/>
                <w:lang w:val="uk-UA"/>
              </w:rPr>
              <w:t>г</w:t>
            </w:r>
            <w:r w:rsidRPr="00B334D3">
              <w:rPr>
                <w:sz w:val="26"/>
                <w:szCs w:val="26"/>
              </w:rPr>
              <w:t>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rPr>
                <w:sz w:val="26"/>
                <w:szCs w:val="26"/>
              </w:rPr>
            </w:pPr>
            <w:r w:rsidRPr="00B334D3">
              <w:rPr>
                <w:sz w:val="26"/>
                <w:szCs w:val="26"/>
              </w:rPr>
              <w:t>Примітка</w:t>
            </w:r>
          </w:p>
        </w:tc>
      </w:tr>
      <w:tr w:rsidR="001B39F7" w:rsidTr="000D57CC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B39F7" w:rsidTr="000D57CC">
        <w:trPr>
          <w:trHeight w:val="228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D97A2B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1B39F7">
              <w:rPr>
                <w:sz w:val="28"/>
                <w:szCs w:val="28"/>
                <w:lang w:val="uk-UA"/>
              </w:rPr>
              <w:t>1.</w:t>
            </w: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5761DC" w:rsidRDefault="007D4628" w:rsidP="00E65769">
            <w:pPr>
              <w:pStyle w:val="20"/>
              <w:jc w:val="center"/>
            </w:pPr>
            <w:r>
              <w:rPr>
                <w:b/>
                <w:bCs/>
              </w:rPr>
              <w:t>Товариство</w:t>
            </w:r>
            <w:r w:rsidR="00025031">
              <w:rPr>
                <w:b/>
                <w:bCs/>
              </w:rPr>
              <w:t xml:space="preserve"> з додатковою відповідальністю «Трембіта»         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AD8" w:rsidRPr="00772AD8" w:rsidRDefault="00025031" w:rsidP="00D97A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вул. Головна, 66</w:t>
            </w:r>
          </w:p>
          <w:p w:rsidR="001B39F7" w:rsidRPr="005761DC" w:rsidRDefault="001B39F7" w:rsidP="00524DEC">
            <w:pPr>
              <w:rPr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1DC" w:rsidRPr="003908CA" w:rsidRDefault="00025031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 xml:space="preserve">Улаштування вертикальної гідроізоляції </w:t>
            </w:r>
          </w:p>
          <w:p w:rsidR="00524DEC" w:rsidRPr="003908CA" w:rsidRDefault="00025031" w:rsidP="00D97A2B">
            <w:pPr>
              <w:pStyle w:val="a6"/>
              <w:jc w:val="both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 xml:space="preserve">Улаштування штукатурки на поверхні стін та перегородок  </w:t>
            </w:r>
          </w:p>
          <w:p w:rsidR="00524DEC" w:rsidRPr="003908CA" w:rsidRDefault="00025031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Улаштування перегородок</w:t>
            </w:r>
          </w:p>
          <w:p w:rsidR="00025031" w:rsidRPr="003908CA" w:rsidRDefault="000D57CC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Заміна перекриття</w:t>
            </w:r>
            <w:r w:rsidR="00B334D3" w:rsidRPr="003908CA">
              <w:rPr>
                <w:sz w:val="26"/>
                <w:szCs w:val="26"/>
                <w:lang w:val="uk-UA"/>
              </w:rPr>
              <w:t xml:space="preserve"> (</w:t>
            </w:r>
            <w:r w:rsidR="00B334D3" w:rsidRPr="003908CA">
              <w:rPr>
                <w:sz w:val="26"/>
                <w:szCs w:val="26"/>
              </w:rPr>
              <w:t>проект</w:t>
            </w:r>
            <w:r w:rsidR="00B334D3" w:rsidRPr="003908CA">
              <w:rPr>
                <w:sz w:val="26"/>
                <w:szCs w:val="26"/>
                <w:lang w:val="uk-UA"/>
              </w:rPr>
              <w:t>)</w:t>
            </w:r>
          </w:p>
          <w:p w:rsidR="000D57CC" w:rsidRPr="003908CA" w:rsidRDefault="000D57CC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Улаштування бетонної підлоги</w:t>
            </w:r>
          </w:p>
          <w:p w:rsidR="000D57CC" w:rsidRPr="003908CA" w:rsidRDefault="000D57CC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Ремонт дверей на 1 поверсі</w:t>
            </w:r>
          </w:p>
          <w:p w:rsidR="000D57CC" w:rsidRPr="003908CA" w:rsidRDefault="000D57CC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Заміна внутрішніх дверних блоків</w:t>
            </w:r>
          </w:p>
          <w:p w:rsidR="000D57CC" w:rsidRPr="003908CA" w:rsidRDefault="000D57CC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Ремонт віконних прорізів</w:t>
            </w:r>
          </w:p>
          <w:p w:rsidR="000D57CC" w:rsidRPr="003908CA" w:rsidRDefault="000D57CC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Заміна віконних блоків</w:t>
            </w:r>
          </w:p>
          <w:p w:rsidR="000D57CC" w:rsidRPr="003908CA" w:rsidRDefault="000D57CC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Заміна електропроводки</w:t>
            </w:r>
          </w:p>
          <w:p w:rsidR="000D57CC" w:rsidRPr="003908CA" w:rsidRDefault="000D57CC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Заміна ушкоджених ділянок трубопроводу водопостачання</w:t>
            </w:r>
          </w:p>
          <w:p w:rsidR="00B334D3" w:rsidRPr="003908CA" w:rsidRDefault="00B334D3" w:rsidP="005761DC">
            <w:pPr>
              <w:pStyle w:val="a6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 xml:space="preserve">Заміна ушкоджених ділянок трубопроводу водовідведення </w:t>
            </w:r>
          </w:p>
          <w:p w:rsidR="000D57CC" w:rsidRPr="003908CA" w:rsidRDefault="000D57CC" w:rsidP="005761DC">
            <w:pPr>
              <w:pStyle w:val="a6"/>
              <w:rPr>
                <w:sz w:val="28"/>
                <w:szCs w:val="28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Улаштування автономної системи опалення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031" w:rsidRPr="003908CA" w:rsidRDefault="00025031" w:rsidP="00524DEC">
            <w:pPr>
              <w:jc w:val="center"/>
              <w:rPr>
                <w:sz w:val="26"/>
                <w:szCs w:val="26"/>
              </w:rPr>
            </w:pPr>
          </w:p>
          <w:p w:rsidR="00025031" w:rsidRPr="003908CA" w:rsidRDefault="00617E18" w:rsidP="00524DEC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025031" w:rsidRPr="003908CA" w:rsidRDefault="00025031" w:rsidP="00524DEC">
            <w:pPr>
              <w:jc w:val="center"/>
              <w:rPr>
                <w:sz w:val="26"/>
                <w:szCs w:val="26"/>
              </w:rPr>
            </w:pPr>
          </w:p>
          <w:p w:rsidR="00D97A2B" w:rsidRPr="003908CA" w:rsidRDefault="00D97A2B" w:rsidP="00524DEC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 xml:space="preserve">кв.м </w:t>
            </w:r>
          </w:p>
          <w:p w:rsidR="00025031" w:rsidRPr="003908CA" w:rsidRDefault="00025031" w:rsidP="00025031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524DEC" w:rsidRPr="003908CA" w:rsidRDefault="000D57CC" w:rsidP="00654485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0D57CC" w:rsidRPr="003908CA" w:rsidRDefault="000D57CC" w:rsidP="000D57CC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0D57CC" w:rsidRPr="003908CA" w:rsidRDefault="000D57CC" w:rsidP="000D57CC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0D57CC" w:rsidRPr="003908CA" w:rsidRDefault="000D57CC" w:rsidP="00654485">
            <w:pPr>
              <w:jc w:val="center"/>
              <w:rPr>
                <w:sz w:val="26"/>
                <w:szCs w:val="26"/>
              </w:rPr>
            </w:pPr>
          </w:p>
          <w:p w:rsidR="000D57CC" w:rsidRPr="003908CA" w:rsidRDefault="000D57CC" w:rsidP="000D57CC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0D57CC" w:rsidRPr="003908CA" w:rsidRDefault="000D57CC" w:rsidP="000D57CC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0D57CC" w:rsidRPr="003908CA" w:rsidRDefault="000D57CC" w:rsidP="00654485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кв.м</w:t>
            </w:r>
          </w:p>
          <w:p w:rsidR="000D57CC" w:rsidRPr="003908CA" w:rsidRDefault="000D57CC" w:rsidP="00654485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м</w:t>
            </w:r>
          </w:p>
          <w:p w:rsidR="00B334D3" w:rsidRPr="003908CA" w:rsidRDefault="00B334D3" w:rsidP="00654485">
            <w:pPr>
              <w:jc w:val="center"/>
              <w:rPr>
                <w:sz w:val="26"/>
                <w:szCs w:val="26"/>
              </w:rPr>
            </w:pPr>
          </w:p>
          <w:p w:rsidR="000D57CC" w:rsidRPr="003908CA" w:rsidRDefault="000D57CC" w:rsidP="00654485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м</w:t>
            </w:r>
          </w:p>
          <w:p w:rsidR="00B334D3" w:rsidRPr="003908CA" w:rsidRDefault="00B334D3" w:rsidP="00654485">
            <w:pPr>
              <w:jc w:val="center"/>
              <w:rPr>
                <w:sz w:val="26"/>
                <w:szCs w:val="26"/>
              </w:rPr>
            </w:pPr>
          </w:p>
          <w:p w:rsidR="00B334D3" w:rsidRPr="003908CA" w:rsidRDefault="00B334D3" w:rsidP="00654485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м</w:t>
            </w:r>
          </w:p>
          <w:p w:rsidR="00B334D3" w:rsidRPr="003908CA" w:rsidRDefault="00B334D3" w:rsidP="00654485">
            <w:pPr>
              <w:jc w:val="center"/>
              <w:rPr>
                <w:sz w:val="26"/>
                <w:szCs w:val="26"/>
              </w:rPr>
            </w:pPr>
          </w:p>
          <w:p w:rsidR="000D57CC" w:rsidRPr="003908CA" w:rsidRDefault="00B334D3" w:rsidP="00654485">
            <w:pPr>
              <w:jc w:val="center"/>
              <w:rPr>
                <w:sz w:val="26"/>
                <w:szCs w:val="26"/>
              </w:rPr>
            </w:pPr>
            <w:r w:rsidRPr="003908CA">
              <w:rPr>
                <w:sz w:val="26"/>
                <w:szCs w:val="26"/>
              </w:rPr>
              <w:t>проект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031" w:rsidRPr="003908CA" w:rsidRDefault="00025031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5761DC" w:rsidRPr="003908CA" w:rsidRDefault="00025031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111,0</w:t>
            </w:r>
          </w:p>
          <w:p w:rsidR="00025031" w:rsidRPr="003908CA" w:rsidRDefault="00025031" w:rsidP="00D97A2B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D97A2B" w:rsidRPr="003908CA" w:rsidRDefault="00025031" w:rsidP="00D97A2B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1068,0</w:t>
            </w:r>
          </w:p>
          <w:p w:rsidR="00617E18" w:rsidRPr="003908CA" w:rsidRDefault="00025031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48,7</w:t>
            </w:r>
          </w:p>
          <w:p w:rsidR="000C66CB" w:rsidRPr="003908CA" w:rsidRDefault="006C3A1A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353,1</w:t>
            </w:r>
          </w:p>
          <w:p w:rsidR="000D57CC" w:rsidRPr="003908CA" w:rsidRDefault="000D57CC" w:rsidP="000D57C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545,4</w:t>
            </w:r>
          </w:p>
          <w:p w:rsidR="00524DEC" w:rsidRPr="003908CA" w:rsidRDefault="000D57CC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13,8</w:t>
            </w:r>
          </w:p>
          <w:p w:rsidR="000D57CC" w:rsidRPr="003908CA" w:rsidRDefault="000D57CC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0D57CC" w:rsidRPr="003908CA" w:rsidRDefault="000D57CC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17,6</w:t>
            </w:r>
          </w:p>
          <w:p w:rsidR="000D57CC" w:rsidRPr="003908CA" w:rsidRDefault="000D57CC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4,2</w:t>
            </w:r>
          </w:p>
          <w:p w:rsidR="000D57CC" w:rsidRPr="003908CA" w:rsidRDefault="000D57CC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43,3</w:t>
            </w:r>
          </w:p>
          <w:p w:rsidR="000D57CC" w:rsidRPr="003908CA" w:rsidRDefault="000D57CC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525,0</w:t>
            </w:r>
          </w:p>
          <w:p w:rsidR="00B334D3" w:rsidRPr="003908CA" w:rsidRDefault="00B334D3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B334D3" w:rsidRPr="003908CA" w:rsidRDefault="00B334D3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uk-UA"/>
              </w:rPr>
              <w:t>54,0</w:t>
            </w:r>
          </w:p>
          <w:p w:rsidR="00B334D3" w:rsidRPr="003908CA" w:rsidRDefault="00B334D3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0D57CC" w:rsidRPr="003908CA" w:rsidRDefault="009B7EE2" w:rsidP="00B334D3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908CA">
              <w:rPr>
                <w:sz w:val="26"/>
                <w:szCs w:val="26"/>
                <w:lang w:val="en-US"/>
              </w:rPr>
              <w:t>4</w:t>
            </w:r>
            <w:r w:rsidR="000D57CC" w:rsidRPr="003908CA">
              <w:rPr>
                <w:sz w:val="26"/>
                <w:szCs w:val="26"/>
                <w:lang w:val="uk-UA"/>
              </w:rPr>
              <w:t>7,0</w:t>
            </w:r>
          </w:p>
          <w:p w:rsidR="000D57CC" w:rsidRPr="003908CA" w:rsidRDefault="000D57CC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B334D3" w:rsidRPr="003908CA" w:rsidRDefault="00B334D3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E18" w:rsidRPr="009B7EE2" w:rsidRDefault="00617E18" w:rsidP="00524DEC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</w:p>
          <w:p w:rsidR="000C66CB" w:rsidRP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9B7EE2">
              <w:rPr>
                <w:sz w:val="26"/>
                <w:szCs w:val="26"/>
                <w:lang w:val="en-US"/>
              </w:rPr>
              <w:t>5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 w:rsidRPr="009B7EE2">
              <w:rPr>
                <w:sz w:val="26"/>
                <w:szCs w:val="26"/>
                <w:lang w:val="en-US"/>
              </w:rPr>
              <w:t>526</w:t>
            </w:r>
          </w:p>
          <w:p w:rsidR="00524DEC" w:rsidRPr="009B7EE2" w:rsidRDefault="00524DEC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9B7EE2">
              <w:rPr>
                <w:sz w:val="26"/>
                <w:szCs w:val="26"/>
                <w:lang w:val="en-US"/>
              </w:rPr>
              <w:t>79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 w:rsidRPr="009B7EE2">
              <w:rPr>
                <w:sz w:val="26"/>
                <w:szCs w:val="26"/>
                <w:lang w:val="en-US"/>
              </w:rPr>
              <w:t>940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027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C3A1A">
              <w:rPr>
                <w:sz w:val="26"/>
                <w:szCs w:val="26"/>
                <w:lang w:val="en-US"/>
              </w:rPr>
              <w:t>282</w:t>
            </w:r>
            <w:r w:rsidR="003908CA" w:rsidRPr="006C3A1A">
              <w:rPr>
                <w:sz w:val="26"/>
                <w:szCs w:val="26"/>
                <w:lang w:val="uk-UA"/>
              </w:rPr>
              <w:t>,</w:t>
            </w:r>
            <w:r w:rsidRPr="006C3A1A">
              <w:rPr>
                <w:sz w:val="26"/>
                <w:szCs w:val="26"/>
                <w:lang w:val="en-US"/>
              </w:rPr>
              <w:t>425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39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103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579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25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568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880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112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389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404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511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</w:t>
            </w:r>
            <w:r w:rsidR="003908CA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en-US"/>
              </w:rPr>
              <w:t>141</w:t>
            </w:r>
          </w:p>
          <w:p w:rsid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</w:p>
          <w:p w:rsidR="009B7EE2" w:rsidRPr="009B7EE2" w:rsidRDefault="009B7EE2" w:rsidP="00524DE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C3A1A">
              <w:rPr>
                <w:sz w:val="26"/>
                <w:szCs w:val="26"/>
                <w:lang w:val="en-US"/>
              </w:rPr>
              <w:t>403</w:t>
            </w:r>
            <w:r w:rsidR="003908CA" w:rsidRPr="006C3A1A">
              <w:rPr>
                <w:sz w:val="26"/>
                <w:szCs w:val="26"/>
                <w:lang w:val="uk-UA"/>
              </w:rPr>
              <w:t>,</w:t>
            </w:r>
            <w:r w:rsidRPr="006C3A1A">
              <w:rPr>
                <w:sz w:val="26"/>
                <w:szCs w:val="26"/>
                <w:lang w:val="en-US"/>
              </w:rPr>
              <w:t>512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B39F7" w:rsidRDefault="001B39F7" w:rsidP="00E65769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B39F7" w:rsidTr="00B334D3">
        <w:trPr>
          <w:trHeight w:val="172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Default="001B39F7" w:rsidP="00E65769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334D3">
              <w:rPr>
                <w:b/>
                <w:bCs/>
                <w:sz w:val="24"/>
                <w:szCs w:val="24"/>
                <w:lang w:val="uk-UA"/>
              </w:rPr>
              <w:t>Р А З О М :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9B7EE2" w:rsidRDefault="009B7EE2" w:rsidP="003E0A60">
            <w:pPr>
              <w:pStyle w:val="a6"/>
              <w:ind w:hanging="2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9B7EE2">
              <w:rPr>
                <w:b/>
                <w:bCs/>
                <w:sz w:val="24"/>
                <w:szCs w:val="24"/>
                <w:lang w:val="en-US"/>
              </w:rPr>
              <w:t>987</w:t>
            </w:r>
            <w:r w:rsidR="003908CA">
              <w:rPr>
                <w:b/>
                <w:bCs/>
                <w:sz w:val="24"/>
                <w:szCs w:val="24"/>
                <w:lang w:val="uk-UA"/>
              </w:rPr>
              <w:t>,</w:t>
            </w:r>
            <w:r w:rsidRPr="009B7EE2">
              <w:rPr>
                <w:b/>
                <w:bCs/>
                <w:sz w:val="24"/>
                <w:szCs w:val="24"/>
                <w:lang w:val="en-US"/>
              </w:rPr>
              <w:t>005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9F7" w:rsidRPr="00B334D3" w:rsidRDefault="001B39F7" w:rsidP="00E65769">
            <w:pPr>
              <w:pStyle w:val="a6"/>
              <w:rPr>
                <w:sz w:val="24"/>
                <w:szCs w:val="24"/>
              </w:rPr>
            </w:pPr>
          </w:p>
        </w:tc>
      </w:tr>
    </w:tbl>
    <w:p w:rsidR="00C9798D" w:rsidRDefault="001B39F7" w:rsidP="00654485">
      <w:pPr>
        <w:pStyle w:val="a6"/>
        <w:jc w:val="right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     </w:t>
      </w:r>
      <w:r w:rsidR="005761DC">
        <w:rPr>
          <w:sz w:val="28"/>
          <w:szCs w:val="28"/>
          <w:lang w:val="uk-UA"/>
        </w:rPr>
        <w:t xml:space="preserve">                            </w:t>
      </w:r>
      <w:r w:rsidR="00FD4E00">
        <w:rPr>
          <w:sz w:val="28"/>
          <w:szCs w:val="28"/>
          <w:lang w:val="uk-UA"/>
        </w:rPr>
        <w:t xml:space="preserve">    </w:t>
      </w:r>
      <w:r w:rsidR="005761D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(</w:t>
      </w:r>
      <w:r w:rsidR="006C3A1A">
        <w:rPr>
          <w:b/>
          <w:bCs/>
          <w:sz w:val="28"/>
          <w:szCs w:val="28"/>
          <w:lang w:val="uk-UA"/>
        </w:rPr>
        <w:t xml:space="preserve">дев’ятсот вісімдесят сім тисяч </w:t>
      </w:r>
      <w:r w:rsidR="008F3542">
        <w:rPr>
          <w:b/>
          <w:bCs/>
          <w:sz w:val="28"/>
          <w:szCs w:val="28"/>
          <w:lang w:val="uk-UA"/>
        </w:rPr>
        <w:t>п’ять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B334D3" w:rsidRDefault="00B334D3" w:rsidP="00654485">
      <w:pPr>
        <w:pStyle w:val="a6"/>
        <w:jc w:val="right"/>
        <w:rPr>
          <w:b/>
          <w:bCs/>
          <w:sz w:val="28"/>
          <w:szCs w:val="28"/>
          <w:lang w:val="uk-UA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D97A2B" w:rsidRPr="00271EF9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D97A2B" w:rsidRPr="00BC189F" w:rsidRDefault="00D97A2B" w:rsidP="00451E5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 міський голова</w:t>
            </w:r>
          </w:p>
        </w:tc>
        <w:tc>
          <w:tcPr>
            <w:tcW w:w="7768" w:type="dxa"/>
          </w:tcPr>
          <w:p w:rsidR="00D97A2B" w:rsidRPr="00054656" w:rsidRDefault="00D97A2B" w:rsidP="00451E52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C25C34" w:rsidRPr="00B334D3" w:rsidRDefault="00C25C34" w:rsidP="00B334D3">
      <w:pPr>
        <w:pStyle w:val="a6"/>
        <w:jc w:val="both"/>
        <w:rPr>
          <w:lang w:val="uk-UA"/>
        </w:rPr>
      </w:pPr>
    </w:p>
    <w:sectPr w:rsidR="00C25C34" w:rsidRPr="00B334D3" w:rsidSect="00B334D3">
      <w:pgSz w:w="16840" w:h="11907" w:orient="landscape" w:code="9"/>
      <w:pgMar w:top="0" w:right="851" w:bottom="284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7C7" w:rsidRDefault="00EA47C7">
      <w:r>
        <w:separator/>
      </w:r>
    </w:p>
  </w:endnote>
  <w:endnote w:type="continuationSeparator" w:id="0">
    <w:p w:rsidR="00EA47C7" w:rsidRDefault="00EA4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D7" w:rsidRDefault="00F40DD7">
    <w:pPr>
      <w:pStyle w:val="aa"/>
      <w:framePr w:wrap="auto" w:vAnchor="text" w:hAnchor="margin" w:xAlign="right" w:y="1"/>
      <w:rPr>
        <w:rStyle w:val="a8"/>
      </w:rPr>
    </w:pPr>
  </w:p>
  <w:p w:rsidR="00F40DD7" w:rsidRDefault="00F40DD7">
    <w:pPr>
      <w:pStyle w:val="aa"/>
      <w:framePr w:wrap="auto" w:vAnchor="text" w:hAnchor="margin" w:xAlign="right" w:y="1"/>
      <w:ind w:right="360"/>
      <w:rPr>
        <w:rStyle w:val="a8"/>
      </w:rPr>
    </w:pPr>
  </w:p>
  <w:p w:rsidR="00F40DD7" w:rsidRDefault="00F40DD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7C7" w:rsidRDefault="00EA47C7">
      <w:r>
        <w:separator/>
      </w:r>
    </w:p>
  </w:footnote>
  <w:footnote w:type="continuationSeparator" w:id="0">
    <w:p w:rsidR="00EA47C7" w:rsidRDefault="00EA4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DD7" w:rsidRDefault="00F40DD7">
    <w:pPr>
      <w:pStyle w:val="a7"/>
      <w:framePr w:wrap="auto" w:vAnchor="text" w:hAnchor="margin" w:xAlign="center" w:y="1"/>
      <w:rPr>
        <w:rStyle w:val="a8"/>
      </w:rPr>
    </w:pPr>
    <w:r>
      <w:rPr>
        <w:rStyle w:val="a8"/>
      </w:rPr>
      <w:t>2</w:t>
    </w:r>
  </w:p>
  <w:p w:rsidR="00F40DD7" w:rsidRPr="0062672E" w:rsidRDefault="00F40DD7" w:rsidP="001D4B07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3DF6"/>
    <w:rsid w:val="00004BE6"/>
    <w:rsid w:val="00004DD4"/>
    <w:rsid w:val="00005A46"/>
    <w:rsid w:val="00010447"/>
    <w:rsid w:val="00010920"/>
    <w:rsid w:val="00013526"/>
    <w:rsid w:val="00014AFF"/>
    <w:rsid w:val="00015593"/>
    <w:rsid w:val="00016EE8"/>
    <w:rsid w:val="00025031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57791"/>
    <w:rsid w:val="000648B6"/>
    <w:rsid w:val="00064E16"/>
    <w:rsid w:val="00066ECE"/>
    <w:rsid w:val="00074498"/>
    <w:rsid w:val="0007458D"/>
    <w:rsid w:val="00074E5B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083D"/>
    <w:rsid w:val="000B0E0F"/>
    <w:rsid w:val="000B445B"/>
    <w:rsid w:val="000B45A8"/>
    <w:rsid w:val="000B7FB5"/>
    <w:rsid w:val="000C0C3E"/>
    <w:rsid w:val="000C3B80"/>
    <w:rsid w:val="000C46AB"/>
    <w:rsid w:val="000C4741"/>
    <w:rsid w:val="000C5E45"/>
    <w:rsid w:val="000C66CB"/>
    <w:rsid w:val="000C74EF"/>
    <w:rsid w:val="000D4280"/>
    <w:rsid w:val="000D57CC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75B"/>
    <w:rsid w:val="0012509C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907"/>
    <w:rsid w:val="00164A07"/>
    <w:rsid w:val="0016788E"/>
    <w:rsid w:val="0017008E"/>
    <w:rsid w:val="0017117B"/>
    <w:rsid w:val="0017332F"/>
    <w:rsid w:val="00174682"/>
    <w:rsid w:val="00181CEE"/>
    <w:rsid w:val="0018343B"/>
    <w:rsid w:val="00183C68"/>
    <w:rsid w:val="00183FA4"/>
    <w:rsid w:val="00184B3B"/>
    <w:rsid w:val="001906AA"/>
    <w:rsid w:val="001970C0"/>
    <w:rsid w:val="001974FA"/>
    <w:rsid w:val="001A0F04"/>
    <w:rsid w:val="001A1119"/>
    <w:rsid w:val="001A1A24"/>
    <w:rsid w:val="001A1D2F"/>
    <w:rsid w:val="001A4AB1"/>
    <w:rsid w:val="001A59F0"/>
    <w:rsid w:val="001A6B90"/>
    <w:rsid w:val="001A716B"/>
    <w:rsid w:val="001A7449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05E2"/>
    <w:rsid w:val="001C24E7"/>
    <w:rsid w:val="001C63A3"/>
    <w:rsid w:val="001C6A30"/>
    <w:rsid w:val="001C6CF4"/>
    <w:rsid w:val="001D014E"/>
    <w:rsid w:val="001D1455"/>
    <w:rsid w:val="001D21AF"/>
    <w:rsid w:val="001D3198"/>
    <w:rsid w:val="001D4B07"/>
    <w:rsid w:val="001D4DCC"/>
    <w:rsid w:val="001D6006"/>
    <w:rsid w:val="001D707B"/>
    <w:rsid w:val="001D75C1"/>
    <w:rsid w:val="001E17D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17518"/>
    <w:rsid w:val="00221E05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2459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434A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1333"/>
    <w:rsid w:val="00303212"/>
    <w:rsid w:val="00304AAC"/>
    <w:rsid w:val="00307D89"/>
    <w:rsid w:val="00311C20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88A"/>
    <w:rsid w:val="00330B81"/>
    <w:rsid w:val="0033105C"/>
    <w:rsid w:val="00331D5C"/>
    <w:rsid w:val="003404FB"/>
    <w:rsid w:val="00341D11"/>
    <w:rsid w:val="0034280A"/>
    <w:rsid w:val="0034334D"/>
    <w:rsid w:val="00343426"/>
    <w:rsid w:val="00344748"/>
    <w:rsid w:val="003451FF"/>
    <w:rsid w:val="003455E3"/>
    <w:rsid w:val="0034749A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30B3"/>
    <w:rsid w:val="003848DE"/>
    <w:rsid w:val="00385871"/>
    <w:rsid w:val="003908CA"/>
    <w:rsid w:val="00391058"/>
    <w:rsid w:val="003911E2"/>
    <w:rsid w:val="003923AA"/>
    <w:rsid w:val="00394C6E"/>
    <w:rsid w:val="00395099"/>
    <w:rsid w:val="003958D6"/>
    <w:rsid w:val="00395C74"/>
    <w:rsid w:val="00395CBF"/>
    <w:rsid w:val="003A1088"/>
    <w:rsid w:val="003A1E57"/>
    <w:rsid w:val="003A3B64"/>
    <w:rsid w:val="003A3C95"/>
    <w:rsid w:val="003B10A0"/>
    <w:rsid w:val="003B2D77"/>
    <w:rsid w:val="003B3BE9"/>
    <w:rsid w:val="003B64B6"/>
    <w:rsid w:val="003B6CBD"/>
    <w:rsid w:val="003C091D"/>
    <w:rsid w:val="003C10A3"/>
    <w:rsid w:val="003C2E09"/>
    <w:rsid w:val="003C584D"/>
    <w:rsid w:val="003D016F"/>
    <w:rsid w:val="003D1428"/>
    <w:rsid w:val="003D3019"/>
    <w:rsid w:val="003D3954"/>
    <w:rsid w:val="003D490D"/>
    <w:rsid w:val="003D64E5"/>
    <w:rsid w:val="003E0A60"/>
    <w:rsid w:val="003E0AA2"/>
    <w:rsid w:val="003E2897"/>
    <w:rsid w:val="003E5A71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6C16"/>
    <w:rsid w:val="0043785A"/>
    <w:rsid w:val="00440C7F"/>
    <w:rsid w:val="00447D3F"/>
    <w:rsid w:val="00451E52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69B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5FB6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E75D7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4015"/>
    <w:rsid w:val="00524DEC"/>
    <w:rsid w:val="0052556F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729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2FA6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553E"/>
    <w:rsid w:val="005F1D11"/>
    <w:rsid w:val="005F2EB5"/>
    <w:rsid w:val="005F3AFF"/>
    <w:rsid w:val="005F541B"/>
    <w:rsid w:val="005F5887"/>
    <w:rsid w:val="005F6133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805"/>
    <w:rsid w:val="00621C6F"/>
    <w:rsid w:val="006250FC"/>
    <w:rsid w:val="0062672E"/>
    <w:rsid w:val="00627BE3"/>
    <w:rsid w:val="006330D7"/>
    <w:rsid w:val="006348C8"/>
    <w:rsid w:val="00634934"/>
    <w:rsid w:val="006357C1"/>
    <w:rsid w:val="00637029"/>
    <w:rsid w:val="00645999"/>
    <w:rsid w:val="00647FA7"/>
    <w:rsid w:val="00650950"/>
    <w:rsid w:val="0065170C"/>
    <w:rsid w:val="00651892"/>
    <w:rsid w:val="00651AF0"/>
    <w:rsid w:val="00653A6F"/>
    <w:rsid w:val="00654485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FDA"/>
    <w:rsid w:val="006B42FE"/>
    <w:rsid w:val="006C0DDD"/>
    <w:rsid w:val="006C19D6"/>
    <w:rsid w:val="006C3A1A"/>
    <w:rsid w:val="006C3A66"/>
    <w:rsid w:val="006C4FE0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F14CB"/>
    <w:rsid w:val="006F17F8"/>
    <w:rsid w:val="006F3712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492E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3B21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2F16"/>
    <w:rsid w:val="007649E5"/>
    <w:rsid w:val="00764A44"/>
    <w:rsid w:val="00765577"/>
    <w:rsid w:val="00765AF2"/>
    <w:rsid w:val="00767019"/>
    <w:rsid w:val="00767A3D"/>
    <w:rsid w:val="00767AF6"/>
    <w:rsid w:val="00772AD8"/>
    <w:rsid w:val="0077415E"/>
    <w:rsid w:val="0077580B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BF6"/>
    <w:rsid w:val="007C3DD1"/>
    <w:rsid w:val="007C41FF"/>
    <w:rsid w:val="007C625D"/>
    <w:rsid w:val="007D10C6"/>
    <w:rsid w:val="007D1F4F"/>
    <w:rsid w:val="007D2F2B"/>
    <w:rsid w:val="007D4165"/>
    <w:rsid w:val="007D4628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4E0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6F1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86AB6"/>
    <w:rsid w:val="00891782"/>
    <w:rsid w:val="00894894"/>
    <w:rsid w:val="00895A31"/>
    <w:rsid w:val="008961F9"/>
    <w:rsid w:val="0089676B"/>
    <w:rsid w:val="00896E12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1D87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3542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16E4"/>
    <w:rsid w:val="009574C8"/>
    <w:rsid w:val="0096455D"/>
    <w:rsid w:val="0096568A"/>
    <w:rsid w:val="009656AA"/>
    <w:rsid w:val="009659FA"/>
    <w:rsid w:val="00966967"/>
    <w:rsid w:val="009676DD"/>
    <w:rsid w:val="009702F4"/>
    <w:rsid w:val="00972219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2CC7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B7EE2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30F7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576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26903"/>
    <w:rsid w:val="00A32130"/>
    <w:rsid w:val="00A3226C"/>
    <w:rsid w:val="00A36F1D"/>
    <w:rsid w:val="00A371D9"/>
    <w:rsid w:val="00A3751E"/>
    <w:rsid w:val="00A41CB6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4E38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503"/>
    <w:rsid w:val="00AA0F46"/>
    <w:rsid w:val="00AA1719"/>
    <w:rsid w:val="00AA33E7"/>
    <w:rsid w:val="00AA4CC9"/>
    <w:rsid w:val="00AA65A2"/>
    <w:rsid w:val="00AA6B00"/>
    <w:rsid w:val="00AB25BE"/>
    <w:rsid w:val="00AB28DB"/>
    <w:rsid w:val="00AB5F0D"/>
    <w:rsid w:val="00AC0C11"/>
    <w:rsid w:val="00AC27DA"/>
    <w:rsid w:val="00AC2A90"/>
    <w:rsid w:val="00AC4D20"/>
    <w:rsid w:val="00AC5707"/>
    <w:rsid w:val="00AC5CB8"/>
    <w:rsid w:val="00AC6607"/>
    <w:rsid w:val="00AC7642"/>
    <w:rsid w:val="00AC7AF2"/>
    <w:rsid w:val="00AD1B0D"/>
    <w:rsid w:val="00AD2207"/>
    <w:rsid w:val="00AD4755"/>
    <w:rsid w:val="00AD527F"/>
    <w:rsid w:val="00AD5E49"/>
    <w:rsid w:val="00AD5EF2"/>
    <w:rsid w:val="00AD5FF3"/>
    <w:rsid w:val="00AD78AC"/>
    <w:rsid w:val="00AE082E"/>
    <w:rsid w:val="00AE129E"/>
    <w:rsid w:val="00AE57C8"/>
    <w:rsid w:val="00AE5F96"/>
    <w:rsid w:val="00AE63FB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478"/>
    <w:rsid w:val="00B12DAF"/>
    <w:rsid w:val="00B12EBD"/>
    <w:rsid w:val="00B1548D"/>
    <w:rsid w:val="00B16D5A"/>
    <w:rsid w:val="00B177A5"/>
    <w:rsid w:val="00B17D75"/>
    <w:rsid w:val="00B22B65"/>
    <w:rsid w:val="00B24EB2"/>
    <w:rsid w:val="00B257D8"/>
    <w:rsid w:val="00B26B1B"/>
    <w:rsid w:val="00B2789A"/>
    <w:rsid w:val="00B3011C"/>
    <w:rsid w:val="00B3056F"/>
    <w:rsid w:val="00B30C2E"/>
    <w:rsid w:val="00B334D3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333E"/>
    <w:rsid w:val="00B644F6"/>
    <w:rsid w:val="00B653F0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2BD8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34"/>
    <w:rsid w:val="00C25CF1"/>
    <w:rsid w:val="00C27BBD"/>
    <w:rsid w:val="00C31AC4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34D7"/>
    <w:rsid w:val="00CA403B"/>
    <w:rsid w:val="00CA4EA7"/>
    <w:rsid w:val="00CA6AA0"/>
    <w:rsid w:val="00CB01A4"/>
    <w:rsid w:val="00CB457D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04DD7"/>
    <w:rsid w:val="00D10748"/>
    <w:rsid w:val="00D10DFF"/>
    <w:rsid w:val="00D11142"/>
    <w:rsid w:val="00D11A90"/>
    <w:rsid w:val="00D148D9"/>
    <w:rsid w:val="00D1742E"/>
    <w:rsid w:val="00D217A9"/>
    <w:rsid w:val="00D22B9E"/>
    <w:rsid w:val="00D25620"/>
    <w:rsid w:val="00D25962"/>
    <w:rsid w:val="00D27E72"/>
    <w:rsid w:val="00D31C53"/>
    <w:rsid w:val="00D31D66"/>
    <w:rsid w:val="00D31D88"/>
    <w:rsid w:val="00D34754"/>
    <w:rsid w:val="00D34B21"/>
    <w:rsid w:val="00D360E0"/>
    <w:rsid w:val="00D36E3A"/>
    <w:rsid w:val="00D37914"/>
    <w:rsid w:val="00D40549"/>
    <w:rsid w:val="00D410F2"/>
    <w:rsid w:val="00D42B8E"/>
    <w:rsid w:val="00D43C64"/>
    <w:rsid w:val="00D441C6"/>
    <w:rsid w:val="00D45190"/>
    <w:rsid w:val="00D45E56"/>
    <w:rsid w:val="00D463B6"/>
    <w:rsid w:val="00D4758D"/>
    <w:rsid w:val="00D5178B"/>
    <w:rsid w:val="00D51803"/>
    <w:rsid w:val="00D51AAE"/>
    <w:rsid w:val="00D54C9B"/>
    <w:rsid w:val="00D60140"/>
    <w:rsid w:val="00D60FD8"/>
    <w:rsid w:val="00D61D7F"/>
    <w:rsid w:val="00D6447A"/>
    <w:rsid w:val="00D6499B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A2B"/>
    <w:rsid w:val="00D97DA8"/>
    <w:rsid w:val="00DA053F"/>
    <w:rsid w:val="00DA2707"/>
    <w:rsid w:val="00DA30DA"/>
    <w:rsid w:val="00DA4151"/>
    <w:rsid w:val="00DA6CCD"/>
    <w:rsid w:val="00DA7088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B63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35E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278EA"/>
    <w:rsid w:val="00E30202"/>
    <w:rsid w:val="00E309CE"/>
    <w:rsid w:val="00E311D4"/>
    <w:rsid w:val="00E356C3"/>
    <w:rsid w:val="00E35E11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47C7"/>
    <w:rsid w:val="00EA7C9C"/>
    <w:rsid w:val="00EB1979"/>
    <w:rsid w:val="00EB2680"/>
    <w:rsid w:val="00EB5377"/>
    <w:rsid w:val="00EB6633"/>
    <w:rsid w:val="00EB6772"/>
    <w:rsid w:val="00EB76DE"/>
    <w:rsid w:val="00EB778F"/>
    <w:rsid w:val="00EB7A33"/>
    <w:rsid w:val="00EC308E"/>
    <w:rsid w:val="00EC7AA3"/>
    <w:rsid w:val="00ED265C"/>
    <w:rsid w:val="00ED35AB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50EF"/>
    <w:rsid w:val="00F072FD"/>
    <w:rsid w:val="00F1086B"/>
    <w:rsid w:val="00F1111F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26BD6"/>
    <w:rsid w:val="00F37CD4"/>
    <w:rsid w:val="00F40DD7"/>
    <w:rsid w:val="00F40EB8"/>
    <w:rsid w:val="00F4115F"/>
    <w:rsid w:val="00F41A53"/>
    <w:rsid w:val="00F41B80"/>
    <w:rsid w:val="00F45CF8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7222"/>
    <w:rsid w:val="00F911CB"/>
    <w:rsid w:val="00F912E7"/>
    <w:rsid w:val="00F91A13"/>
    <w:rsid w:val="00F9272A"/>
    <w:rsid w:val="00F92D9A"/>
    <w:rsid w:val="00F955DD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3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manilich</cp:lastModifiedBy>
  <cp:revision>2</cp:revision>
  <cp:lastPrinted>2017-02-27T06:32:00Z</cp:lastPrinted>
  <dcterms:created xsi:type="dcterms:W3CDTF">2017-02-27T15:21:00Z</dcterms:created>
  <dcterms:modified xsi:type="dcterms:W3CDTF">2017-02-27T15:21:00Z</dcterms:modified>
</cp:coreProperties>
</file>