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B6" w:rsidRPr="005129EB" w:rsidRDefault="00EE54B6" w:rsidP="00EE54B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5129EB">
        <w:rPr>
          <w:rFonts w:ascii="Times New Roman" w:hAnsi="Times New Roman" w:cs="Times New Roman"/>
          <w:b/>
          <w:sz w:val="26"/>
          <w:szCs w:val="26"/>
        </w:rPr>
        <w:t>ЗВІТ ПРО ВИКОНАННЯ ІНВЕСТ</w:t>
      </w:r>
      <w:r w:rsidR="002A48B8" w:rsidRPr="005129EB">
        <w:rPr>
          <w:rFonts w:ascii="Times New Roman" w:hAnsi="Times New Roman" w:cs="Times New Roman"/>
          <w:b/>
          <w:sz w:val="26"/>
          <w:szCs w:val="26"/>
        </w:rPr>
        <w:t>И</w:t>
      </w:r>
      <w:r w:rsidRPr="005129EB">
        <w:rPr>
          <w:rFonts w:ascii="Times New Roman" w:hAnsi="Times New Roman" w:cs="Times New Roman"/>
          <w:b/>
          <w:sz w:val="26"/>
          <w:szCs w:val="26"/>
        </w:rPr>
        <w:t>ЦІЙН</w:t>
      </w:r>
      <w:r w:rsidR="005129EB">
        <w:rPr>
          <w:rFonts w:ascii="Times New Roman" w:hAnsi="Times New Roman" w:cs="Times New Roman"/>
          <w:b/>
          <w:sz w:val="26"/>
          <w:szCs w:val="26"/>
        </w:rPr>
        <w:t xml:space="preserve">ИХ </w:t>
      </w:r>
      <w:r w:rsidRPr="005129EB">
        <w:rPr>
          <w:rFonts w:ascii="Times New Roman" w:hAnsi="Times New Roman" w:cs="Times New Roman"/>
          <w:b/>
          <w:sz w:val="26"/>
          <w:szCs w:val="26"/>
        </w:rPr>
        <w:t xml:space="preserve"> ПРОГРАМ</w:t>
      </w:r>
    </w:p>
    <w:p w:rsidR="005B7642" w:rsidRDefault="00EE54B6" w:rsidP="005129E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за період дії затвердженого тарифу </w:t>
      </w:r>
      <w:r w:rsidR="00E93BFA" w:rsidRPr="005129EB">
        <w:rPr>
          <w:rFonts w:ascii="Times New Roman" w:hAnsi="Times New Roman" w:cs="Times New Roman"/>
          <w:sz w:val="26"/>
          <w:szCs w:val="26"/>
        </w:rPr>
        <w:t xml:space="preserve">на послуги з вивезення твердих побутових відходів </w:t>
      </w:r>
      <w:r w:rsidRPr="005129EB">
        <w:rPr>
          <w:rFonts w:ascii="Times New Roman" w:hAnsi="Times New Roman" w:cs="Times New Roman"/>
          <w:sz w:val="26"/>
          <w:szCs w:val="26"/>
        </w:rPr>
        <w:t>рішенням виконавчого комітету Чернівецької міської ради від 11.09.2018 року №494/18</w:t>
      </w:r>
      <w:r w:rsidR="005129EB">
        <w:rPr>
          <w:rFonts w:ascii="Times New Roman" w:hAnsi="Times New Roman" w:cs="Times New Roman"/>
          <w:sz w:val="26"/>
          <w:szCs w:val="26"/>
        </w:rPr>
        <w:t xml:space="preserve"> </w:t>
      </w:r>
      <w:r w:rsidRPr="005129EB">
        <w:rPr>
          <w:rFonts w:ascii="Times New Roman" w:hAnsi="Times New Roman" w:cs="Times New Roman"/>
          <w:sz w:val="26"/>
          <w:szCs w:val="26"/>
        </w:rPr>
        <w:t>міського комунального підприємства «</w:t>
      </w:r>
      <w:proofErr w:type="spellStart"/>
      <w:r w:rsidRPr="005129EB">
        <w:rPr>
          <w:rFonts w:ascii="Times New Roman" w:hAnsi="Times New Roman" w:cs="Times New Roman"/>
          <w:sz w:val="26"/>
          <w:szCs w:val="26"/>
        </w:rPr>
        <w:t>Чернівціспецкомунтранс</w:t>
      </w:r>
      <w:proofErr w:type="spellEnd"/>
      <w:r w:rsidRPr="005129EB">
        <w:rPr>
          <w:rFonts w:ascii="Times New Roman" w:hAnsi="Times New Roman" w:cs="Times New Roman"/>
          <w:sz w:val="26"/>
          <w:szCs w:val="26"/>
        </w:rPr>
        <w:t>» що надає послуги з перевезення та зберігання твердих побутових відходів</w:t>
      </w:r>
    </w:p>
    <w:p w:rsidR="005129EB" w:rsidRPr="005129EB" w:rsidRDefault="005129EB" w:rsidP="005129E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129EB" w:rsidRDefault="00E93BFA" w:rsidP="005129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         Затверджений тариф вступив у дію з 01.10.2018 року.</w:t>
      </w:r>
      <w:r w:rsidR="00EE54B6"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Pr="005129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54B6" w:rsidRPr="005129EB" w:rsidRDefault="00EE54B6" w:rsidP="005129EB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>У  структурі діючого тарифу на послуги з вивезення твердих побутових відходів, врахована інвестиційна складова</w:t>
      </w:r>
      <w:r w:rsidR="005129EB">
        <w:rPr>
          <w:rFonts w:ascii="Times New Roman" w:hAnsi="Times New Roman" w:cs="Times New Roman"/>
          <w:sz w:val="26"/>
          <w:szCs w:val="26"/>
        </w:rPr>
        <w:t xml:space="preserve"> за видами послуг з перевезення та зберігання твердих побутових відходів  в наступних обсягах</w:t>
      </w:r>
      <w:r w:rsidR="00E93BFA" w:rsidRPr="005129EB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1218"/>
        <w:gridCol w:w="1417"/>
        <w:gridCol w:w="1701"/>
      </w:tblGrid>
      <w:tr w:rsidR="00EC6C23" w:rsidRPr="005129EB" w:rsidTr="00EC6C23">
        <w:trPr>
          <w:trHeight w:val="750"/>
        </w:trPr>
        <w:tc>
          <w:tcPr>
            <w:tcW w:w="3720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Найменування послуги</w:t>
            </w:r>
          </w:p>
        </w:tc>
        <w:tc>
          <w:tcPr>
            <w:tcW w:w="1218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 xml:space="preserve">Один. </w:t>
            </w:r>
            <w:proofErr w:type="spellStart"/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вим</w:t>
            </w:r>
            <w:proofErr w:type="spellEnd"/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 xml:space="preserve">Загальна сума на рік </w:t>
            </w:r>
          </w:p>
        </w:tc>
        <w:tc>
          <w:tcPr>
            <w:tcW w:w="1701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 xml:space="preserve"> На 1 м3 /рік</w:t>
            </w:r>
          </w:p>
        </w:tc>
      </w:tr>
      <w:tr w:rsidR="00EC6C23" w:rsidRPr="005129EB" w:rsidTr="00EC6C23">
        <w:trPr>
          <w:trHeight w:val="735"/>
        </w:trPr>
        <w:tc>
          <w:tcPr>
            <w:tcW w:w="3720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Перевезення твердих побутових відходів</w:t>
            </w:r>
          </w:p>
        </w:tc>
        <w:tc>
          <w:tcPr>
            <w:tcW w:w="1218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тис. грн.</w:t>
            </w:r>
          </w:p>
        </w:tc>
        <w:tc>
          <w:tcPr>
            <w:tcW w:w="1417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1180,5</w:t>
            </w:r>
          </w:p>
        </w:tc>
        <w:tc>
          <w:tcPr>
            <w:tcW w:w="1701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5,79</w:t>
            </w:r>
          </w:p>
        </w:tc>
      </w:tr>
      <w:tr w:rsidR="00EC6C23" w:rsidRPr="005129EB" w:rsidTr="00EC6C23">
        <w:trPr>
          <w:trHeight w:val="600"/>
        </w:trPr>
        <w:tc>
          <w:tcPr>
            <w:tcW w:w="3720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 xml:space="preserve">Зберігання твердих побутових відходів </w:t>
            </w:r>
          </w:p>
        </w:tc>
        <w:tc>
          <w:tcPr>
            <w:tcW w:w="1218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тис. грн.</w:t>
            </w:r>
          </w:p>
        </w:tc>
        <w:tc>
          <w:tcPr>
            <w:tcW w:w="1417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103,7</w:t>
            </w:r>
          </w:p>
        </w:tc>
        <w:tc>
          <w:tcPr>
            <w:tcW w:w="1701" w:type="dxa"/>
          </w:tcPr>
          <w:p w:rsidR="00EC6C23" w:rsidRPr="005129EB" w:rsidRDefault="00EC6C23" w:rsidP="00EE54B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29EB">
              <w:rPr>
                <w:rFonts w:ascii="Times New Roman" w:hAnsi="Times New Roman" w:cs="Times New Roman"/>
                <w:sz w:val="26"/>
                <w:szCs w:val="26"/>
              </w:rPr>
              <w:t>0,51</w:t>
            </w:r>
          </w:p>
        </w:tc>
      </w:tr>
    </w:tbl>
    <w:p w:rsidR="00E93BFA" w:rsidRPr="005129EB" w:rsidRDefault="00E93BFA" w:rsidP="00EE54B6">
      <w:pPr>
        <w:rPr>
          <w:rFonts w:ascii="Times New Roman" w:hAnsi="Times New Roman" w:cs="Times New Roman"/>
          <w:sz w:val="26"/>
          <w:szCs w:val="26"/>
        </w:rPr>
      </w:pPr>
    </w:p>
    <w:p w:rsidR="00EC6C23" w:rsidRPr="005129EB" w:rsidRDefault="00EC6C23" w:rsidP="005129EB">
      <w:pPr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   </w:t>
      </w:r>
      <w:r w:rsidR="005129EB">
        <w:rPr>
          <w:rFonts w:ascii="Times New Roman" w:hAnsi="Times New Roman" w:cs="Times New Roman"/>
          <w:sz w:val="26"/>
          <w:szCs w:val="26"/>
        </w:rPr>
        <w:tab/>
      </w:r>
      <w:r w:rsidRPr="005129EB">
        <w:rPr>
          <w:rFonts w:ascii="Times New Roman" w:hAnsi="Times New Roman" w:cs="Times New Roman"/>
          <w:sz w:val="26"/>
          <w:szCs w:val="26"/>
        </w:rPr>
        <w:t xml:space="preserve">Метою  інвестиційної програми є оновлення парку сміттєвозів та придбання контейнерів для зберігання твердих побутових відходів. На 2019 рік було передбачено придбання 45 шт. контейнерів об’ємом 1,1 </w:t>
      </w:r>
      <w:proofErr w:type="spellStart"/>
      <w:r w:rsidRPr="005129EB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Pr="005129EB">
        <w:rPr>
          <w:rFonts w:ascii="Times New Roman" w:hAnsi="Times New Roman" w:cs="Times New Roman"/>
          <w:sz w:val="26"/>
          <w:szCs w:val="26"/>
        </w:rPr>
        <w:t>. на суму 103,7 тис. грн.. Придбання сміттєвозу</w:t>
      </w:r>
      <w:r w:rsidR="002A48B8" w:rsidRPr="005129EB">
        <w:rPr>
          <w:rFonts w:ascii="Times New Roman" w:hAnsi="Times New Roman" w:cs="Times New Roman"/>
          <w:sz w:val="26"/>
          <w:szCs w:val="26"/>
        </w:rPr>
        <w:t xml:space="preserve">, згідно програми </w:t>
      </w:r>
      <w:r w:rsidRPr="005129EB">
        <w:rPr>
          <w:rFonts w:ascii="Times New Roman" w:hAnsi="Times New Roman" w:cs="Times New Roman"/>
          <w:sz w:val="26"/>
          <w:szCs w:val="26"/>
        </w:rPr>
        <w:t xml:space="preserve"> передбачено у 2020 році.</w:t>
      </w:r>
    </w:p>
    <w:p w:rsidR="00EC6C23" w:rsidRPr="005129EB" w:rsidRDefault="002A48B8" w:rsidP="005129EB">
      <w:pPr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     </w:t>
      </w:r>
      <w:r w:rsidR="005129EB">
        <w:rPr>
          <w:rFonts w:ascii="Times New Roman" w:hAnsi="Times New Roman" w:cs="Times New Roman"/>
          <w:sz w:val="26"/>
          <w:szCs w:val="26"/>
        </w:rPr>
        <w:tab/>
      </w:r>
      <w:r w:rsidRPr="005129EB">
        <w:rPr>
          <w:rFonts w:ascii="Times New Roman" w:hAnsi="Times New Roman" w:cs="Times New Roman"/>
          <w:sz w:val="26"/>
          <w:szCs w:val="26"/>
        </w:rPr>
        <w:t>МКП «</w:t>
      </w:r>
      <w:proofErr w:type="spellStart"/>
      <w:r w:rsidRPr="005129EB">
        <w:rPr>
          <w:rFonts w:ascii="Times New Roman" w:hAnsi="Times New Roman" w:cs="Times New Roman"/>
          <w:sz w:val="26"/>
          <w:szCs w:val="26"/>
        </w:rPr>
        <w:t>Чернівціспецкомунтранс</w:t>
      </w:r>
      <w:proofErr w:type="spellEnd"/>
      <w:r w:rsidRPr="005129EB">
        <w:rPr>
          <w:rFonts w:ascii="Times New Roman" w:hAnsi="Times New Roman" w:cs="Times New Roman"/>
          <w:sz w:val="26"/>
          <w:szCs w:val="26"/>
        </w:rPr>
        <w:t>»  н</w:t>
      </w:r>
      <w:r w:rsidR="00EC6C23" w:rsidRPr="005129EB">
        <w:rPr>
          <w:rFonts w:ascii="Times New Roman" w:hAnsi="Times New Roman" w:cs="Times New Roman"/>
          <w:sz w:val="26"/>
          <w:szCs w:val="26"/>
        </w:rPr>
        <w:t>е викона</w:t>
      </w:r>
      <w:r w:rsidRPr="005129EB">
        <w:rPr>
          <w:rFonts w:ascii="Times New Roman" w:hAnsi="Times New Roman" w:cs="Times New Roman"/>
          <w:sz w:val="26"/>
          <w:szCs w:val="26"/>
        </w:rPr>
        <w:t>в</w:t>
      </w:r>
      <w:r w:rsidR="00EC6C23" w:rsidRPr="005129EB">
        <w:rPr>
          <w:rFonts w:ascii="Times New Roman" w:hAnsi="Times New Roman" w:cs="Times New Roman"/>
          <w:sz w:val="26"/>
          <w:szCs w:val="26"/>
        </w:rPr>
        <w:t xml:space="preserve">  інвест</w:t>
      </w:r>
      <w:r w:rsidRPr="005129EB">
        <w:rPr>
          <w:rFonts w:ascii="Times New Roman" w:hAnsi="Times New Roman" w:cs="Times New Roman"/>
          <w:sz w:val="26"/>
          <w:szCs w:val="26"/>
        </w:rPr>
        <w:t>и</w:t>
      </w:r>
      <w:r w:rsidR="00EC6C23" w:rsidRPr="005129EB">
        <w:rPr>
          <w:rFonts w:ascii="Times New Roman" w:hAnsi="Times New Roman" w:cs="Times New Roman"/>
          <w:sz w:val="26"/>
          <w:szCs w:val="26"/>
        </w:rPr>
        <w:t xml:space="preserve">ційної програми </w:t>
      </w:r>
      <w:r w:rsidRPr="005129EB">
        <w:rPr>
          <w:rFonts w:ascii="Times New Roman" w:hAnsi="Times New Roman" w:cs="Times New Roman"/>
          <w:sz w:val="26"/>
          <w:szCs w:val="26"/>
        </w:rPr>
        <w:t xml:space="preserve">, з причини збитковості  підприємства  за весь період дії тарифу. </w:t>
      </w:r>
      <w:r w:rsidR="003205DC"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Pr="005129EB">
        <w:rPr>
          <w:rFonts w:ascii="Times New Roman" w:hAnsi="Times New Roman" w:cs="Times New Roman"/>
          <w:sz w:val="26"/>
          <w:szCs w:val="26"/>
        </w:rPr>
        <w:t>Підприємство не має власн</w:t>
      </w:r>
      <w:r w:rsidR="00962E7E" w:rsidRPr="005129EB">
        <w:rPr>
          <w:rFonts w:ascii="Times New Roman" w:hAnsi="Times New Roman" w:cs="Times New Roman"/>
          <w:sz w:val="26"/>
          <w:szCs w:val="26"/>
        </w:rPr>
        <w:t xml:space="preserve">их </w:t>
      </w:r>
      <w:r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962E7E" w:rsidRPr="005129EB">
        <w:rPr>
          <w:rFonts w:ascii="Times New Roman" w:hAnsi="Times New Roman" w:cs="Times New Roman"/>
          <w:sz w:val="26"/>
          <w:szCs w:val="26"/>
        </w:rPr>
        <w:t xml:space="preserve">сміттєвозів и </w:t>
      </w:r>
      <w:r w:rsidR="003205DC" w:rsidRPr="005129EB">
        <w:rPr>
          <w:rFonts w:ascii="Times New Roman" w:hAnsi="Times New Roman" w:cs="Times New Roman"/>
          <w:sz w:val="26"/>
          <w:szCs w:val="26"/>
        </w:rPr>
        <w:t xml:space="preserve">для  отримання можливості надання </w:t>
      </w:r>
      <w:r w:rsidR="00962E7E" w:rsidRPr="005129EB">
        <w:rPr>
          <w:rFonts w:ascii="Times New Roman" w:hAnsi="Times New Roman" w:cs="Times New Roman"/>
          <w:sz w:val="26"/>
          <w:szCs w:val="26"/>
        </w:rPr>
        <w:t xml:space="preserve"> послуги з вивезення твердих побутових відходів </w:t>
      </w:r>
      <w:r w:rsidR="003205DC" w:rsidRPr="005129EB">
        <w:rPr>
          <w:rFonts w:ascii="Times New Roman" w:hAnsi="Times New Roman" w:cs="Times New Roman"/>
          <w:sz w:val="26"/>
          <w:szCs w:val="26"/>
        </w:rPr>
        <w:t xml:space="preserve">залучає сторонню організацію. </w:t>
      </w:r>
    </w:p>
    <w:p w:rsidR="003205DC" w:rsidRPr="005129EB" w:rsidRDefault="003205DC" w:rsidP="005129EB">
      <w:pPr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   </w:t>
      </w:r>
      <w:r w:rsidR="005129EB">
        <w:rPr>
          <w:rFonts w:ascii="Times New Roman" w:hAnsi="Times New Roman" w:cs="Times New Roman"/>
          <w:sz w:val="26"/>
          <w:szCs w:val="26"/>
        </w:rPr>
        <w:tab/>
      </w:r>
      <w:r w:rsidRPr="005129EB">
        <w:rPr>
          <w:rFonts w:ascii="Times New Roman" w:hAnsi="Times New Roman" w:cs="Times New Roman"/>
          <w:sz w:val="26"/>
          <w:szCs w:val="26"/>
        </w:rPr>
        <w:t>На даний час МКП «</w:t>
      </w:r>
      <w:proofErr w:type="spellStart"/>
      <w:r w:rsidRPr="005129EB">
        <w:rPr>
          <w:rFonts w:ascii="Times New Roman" w:hAnsi="Times New Roman" w:cs="Times New Roman"/>
          <w:sz w:val="26"/>
          <w:szCs w:val="26"/>
        </w:rPr>
        <w:t>Чернівціспецкомунтранс</w:t>
      </w:r>
      <w:proofErr w:type="spellEnd"/>
      <w:r w:rsidRPr="005129EB">
        <w:rPr>
          <w:rFonts w:ascii="Times New Roman" w:hAnsi="Times New Roman" w:cs="Times New Roman"/>
          <w:sz w:val="26"/>
          <w:szCs w:val="26"/>
        </w:rPr>
        <w:t>» не має потреби у придбанні контейнерів для зберігання твердих побутових відходів.</w:t>
      </w:r>
    </w:p>
    <w:p w:rsidR="003205DC" w:rsidRPr="005129EB" w:rsidRDefault="003205DC" w:rsidP="005129E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У плановому періоді підприємство </w:t>
      </w:r>
      <w:r w:rsidR="00F67A84" w:rsidRPr="005129EB">
        <w:rPr>
          <w:rFonts w:ascii="Times New Roman" w:hAnsi="Times New Roman" w:cs="Times New Roman"/>
          <w:sz w:val="26"/>
          <w:szCs w:val="26"/>
        </w:rPr>
        <w:t>планує інвестиційну складову тільки у складі тарифу на перевезення твердих побутових відходів.</w:t>
      </w:r>
    </w:p>
    <w:p w:rsidR="005129EB" w:rsidRPr="005129EB" w:rsidRDefault="00F67A84" w:rsidP="005129EB">
      <w:pPr>
        <w:jc w:val="both"/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5129EB">
        <w:rPr>
          <w:rFonts w:ascii="Times New Roman" w:hAnsi="Times New Roman" w:cs="Times New Roman"/>
          <w:sz w:val="26"/>
          <w:szCs w:val="26"/>
        </w:rPr>
        <w:tab/>
      </w:r>
      <w:r w:rsidRPr="005129EB">
        <w:rPr>
          <w:rFonts w:ascii="Times New Roman" w:hAnsi="Times New Roman" w:cs="Times New Roman"/>
          <w:sz w:val="26"/>
          <w:szCs w:val="26"/>
        </w:rPr>
        <w:t>Сума коштів (інвестиційна складова),  яку під час дії тарифу  на послуги з вивезення ТПВ підприємство отримало через складову тарифу буде корегована при формуванні планових витрат на послуги з поводження з побутовими відходами</w:t>
      </w:r>
      <w:r w:rsidR="005129EB" w:rsidRPr="005129EB">
        <w:rPr>
          <w:rFonts w:ascii="Times New Roman" w:hAnsi="Times New Roman" w:cs="Times New Roman"/>
          <w:sz w:val="26"/>
          <w:szCs w:val="26"/>
        </w:rPr>
        <w:t xml:space="preserve"> </w:t>
      </w:r>
      <w:r w:rsidR="005129EB">
        <w:rPr>
          <w:rFonts w:ascii="Times New Roman" w:hAnsi="Times New Roman" w:cs="Times New Roman"/>
          <w:sz w:val="26"/>
          <w:szCs w:val="26"/>
        </w:rPr>
        <w:t xml:space="preserve"> та вилучена із загальної суми  планових  видатків  на 2020 рік  </w:t>
      </w:r>
      <w:r w:rsidR="005129EB" w:rsidRPr="005129EB">
        <w:rPr>
          <w:rFonts w:ascii="Times New Roman" w:hAnsi="Times New Roman" w:cs="Times New Roman"/>
          <w:sz w:val="26"/>
          <w:szCs w:val="26"/>
        </w:rPr>
        <w:t>відповідно до розрахунку, а саме:</w:t>
      </w:r>
      <w:r w:rsidRPr="005129EB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55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2794"/>
        <w:gridCol w:w="852"/>
        <w:gridCol w:w="1558"/>
        <w:gridCol w:w="1906"/>
        <w:gridCol w:w="1804"/>
      </w:tblGrid>
      <w:tr w:rsidR="005129EB" w:rsidRPr="005129EB" w:rsidTr="005129EB">
        <w:trPr>
          <w:trHeight w:val="1058"/>
        </w:trPr>
        <w:tc>
          <w:tcPr>
            <w:tcW w:w="9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29EB" w:rsidRPr="005129EB" w:rsidRDefault="005129EB" w:rsidP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Р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озрахунок планового прибутку який включено до тарифу на послуги з поводження з побутовими відходами ( перевезення  твердих побутових відходів) МКП "</w:t>
            </w:r>
            <w:proofErr w:type="spellStart"/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Чернівціспецкомунтранс</w:t>
            </w:r>
            <w:proofErr w:type="spellEnd"/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 на 2020 рік.</w:t>
            </w:r>
          </w:p>
        </w:tc>
      </w:tr>
      <w:tr w:rsidR="005129EB" w:rsidTr="005129EB">
        <w:trPr>
          <w:trHeight w:val="29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9EB" w:rsidTr="005129EB">
        <w:trPr>
          <w:trHeight w:val="164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п/п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складові планового прибутку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один.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загальна  сума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інвестіційна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складова у діючому тарифі (грн./м3)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плановий період 2020 рік (грн.)</w:t>
            </w:r>
          </w:p>
        </w:tc>
      </w:tr>
      <w:tr w:rsidR="005129EB" w:rsidTr="005129EB">
        <w:trPr>
          <w:trHeight w:val="302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5129EB" w:rsidTr="005129EB">
        <w:trPr>
          <w:trHeight w:val="665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І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факт  вивезення  ТПВ у базовому періоді (2019 р.)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212942,43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-5,79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-1232936,67</w:t>
            </w:r>
          </w:p>
        </w:tc>
      </w:tr>
      <w:tr w:rsidR="005129EB" w:rsidTr="005129EB">
        <w:trPr>
          <w:trHeight w:val="588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обсяги перевезення  жовтень -грудень 2018 р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59737,57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-5,79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-345880,53</w:t>
            </w:r>
          </w:p>
        </w:tc>
      </w:tr>
      <w:tr w:rsidR="005129EB" w:rsidTr="005129EB">
        <w:trPr>
          <w:trHeight w:val="55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обсяги перевезення  січень- квітень 2020р.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63928,33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-5,79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-370145,03</w:t>
            </w:r>
          </w:p>
        </w:tc>
      </w:tr>
      <w:tr w:rsidR="005129EB" w:rsidRPr="005129EB" w:rsidTr="005129EB">
        <w:trPr>
          <w:trHeight w:val="331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Всього корегування витрат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336608,33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-5,79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-1948962,23</w:t>
            </w:r>
          </w:p>
        </w:tc>
      </w:tr>
      <w:tr w:rsidR="005129EB" w:rsidTr="005129EB">
        <w:trPr>
          <w:trHeight w:val="665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ІІ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інвестіційна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складова ( придбання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сміттевозів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5902500,00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1180500,00</w:t>
            </w:r>
          </w:p>
        </w:tc>
      </w:tr>
      <w:tr w:rsidR="005129EB" w:rsidTr="005129EB">
        <w:trPr>
          <w:trHeight w:val="362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дивіденти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(15%)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1041617,65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208323,53</w:t>
            </w:r>
          </w:p>
        </w:tc>
      </w:tr>
      <w:tr w:rsidR="005129EB" w:rsidTr="005129EB">
        <w:trPr>
          <w:trHeight w:val="331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чистий прибуток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6944117,65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1388823,53</w:t>
            </w:r>
          </w:p>
        </w:tc>
      </w:tr>
      <w:tr w:rsidR="005129EB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податок на прибуток (18%)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1524318,51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304863,70</w:t>
            </w:r>
          </w:p>
        </w:tc>
      </w:tr>
      <w:tr w:rsidR="005129EB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2.4.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плановий прибуток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грн.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8468436,15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1693687,23</w:t>
            </w:r>
          </w:p>
        </w:tc>
      </w:tr>
      <w:tr w:rsidR="005129EB" w:rsidTr="005129EB">
        <w:trPr>
          <w:trHeight w:val="29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9EB" w:rsidTr="005129EB">
        <w:trPr>
          <w:trHeight w:val="802"/>
        </w:trPr>
        <w:tc>
          <w:tcPr>
            <w:tcW w:w="9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</w:t>
            </w:r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озрахунок корегування витрат(планового прибутку ), який включено до тарифу на послуги з поводження з побутовими відходами ( зберігання  твердих побутових відходів.) МКП "</w:t>
            </w:r>
            <w:proofErr w:type="spellStart"/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Чернівціспецкомунтранс</w:t>
            </w:r>
            <w:proofErr w:type="spellEnd"/>
            <w:r w:rsidRPr="005129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 на 2020 рік.</w:t>
            </w:r>
          </w:p>
        </w:tc>
      </w:tr>
      <w:tr w:rsidR="005129EB" w:rsidTr="005129EB">
        <w:trPr>
          <w:trHeight w:val="29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9EB" w:rsidTr="005129EB">
        <w:trPr>
          <w:trHeight w:val="1126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п/п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складові планового прибутку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один.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загальна  сума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інвестіційна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складова у діючому тарифі (грн./м3)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плановий період 2020 рік</w:t>
            </w:r>
          </w:p>
        </w:tc>
      </w:tr>
      <w:tr w:rsidR="005129EB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129EB" w:rsidTr="005129EB">
        <w:trPr>
          <w:trHeight w:val="56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факт  зберігання  ТПВ у базовому періоді (2019 р.)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212942,43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-0,51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-108600,64</w:t>
            </w:r>
          </w:p>
        </w:tc>
      </w:tr>
      <w:tr w:rsidR="005129EB" w:rsidTr="005129EB">
        <w:trPr>
          <w:trHeight w:val="56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обсяги перевезення  жовтень -грудень 2018 р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59737,57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-0,51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-30466,16</w:t>
            </w:r>
          </w:p>
        </w:tc>
      </w:tr>
      <w:tr w:rsidR="005129EB" w:rsidTr="005129EB">
        <w:trPr>
          <w:trHeight w:val="56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обсяги перевезення  січень- квітень 2020р.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63928,33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-0,51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-32603,45</w:t>
            </w:r>
          </w:p>
        </w:tc>
      </w:tr>
      <w:tr w:rsidR="005129EB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разом корегування витрат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336608,33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-0,51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-171670,25</w:t>
            </w:r>
          </w:p>
        </w:tc>
      </w:tr>
      <w:tr w:rsidR="005129EB" w:rsidTr="005129EB">
        <w:trPr>
          <w:trHeight w:val="29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 xml:space="preserve">корегування амортизації 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м3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336608,33</w:t>
            </w: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Cs/>
                <w:color w:val="000000"/>
              </w:rPr>
              <w:t>-0,82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-276018,83</w:t>
            </w:r>
          </w:p>
        </w:tc>
      </w:tr>
      <w:tr w:rsidR="005129EB" w:rsidTr="005129EB">
        <w:trPr>
          <w:trHeight w:val="56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 w:rsidP="00512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Скорегована </w:t>
            </w:r>
            <w:proofErr w:type="spellStart"/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інвестіційна</w:t>
            </w:r>
            <w:proofErr w:type="spellEnd"/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складова  у плановому періоді всього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9EB" w:rsidRPr="005129EB" w:rsidRDefault="00512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29EB">
              <w:rPr>
                <w:rFonts w:ascii="Times New Roman" w:hAnsi="Times New Roman" w:cs="Times New Roman"/>
                <w:b/>
                <w:bCs/>
                <w:color w:val="000000"/>
              </w:rPr>
              <w:t>-447689,08</w:t>
            </w:r>
          </w:p>
        </w:tc>
      </w:tr>
    </w:tbl>
    <w:p w:rsidR="005129EB" w:rsidRDefault="005129EB" w:rsidP="00EE54B6">
      <w:pPr>
        <w:rPr>
          <w:rFonts w:ascii="Times New Roman" w:hAnsi="Times New Roman" w:cs="Times New Roman"/>
          <w:sz w:val="24"/>
          <w:szCs w:val="24"/>
        </w:rPr>
      </w:pPr>
    </w:p>
    <w:p w:rsidR="00F67A84" w:rsidRPr="005129EB" w:rsidRDefault="005129EB" w:rsidP="00EE54B6">
      <w:pPr>
        <w:rPr>
          <w:rFonts w:ascii="Times New Roman" w:hAnsi="Times New Roman" w:cs="Times New Roman"/>
          <w:sz w:val="26"/>
          <w:szCs w:val="26"/>
        </w:rPr>
      </w:pPr>
      <w:r w:rsidRPr="005129EB">
        <w:rPr>
          <w:rFonts w:ascii="Times New Roman" w:hAnsi="Times New Roman" w:cs="Times New Roman"/>
          <w:sz w:val="26"/>
          <w:szCs w:val="26"/>
        </w:rPr>
        <w:t>Д</w:t>
      </w:r>
      <w:r w:rsidR="00F67A84" w:rsidRPr="005129EB">
        <w:rPr>
          <w:rFonts w:ascii="Times New Roman" w:hAnsi="Times New Roman" w:cs="Times New Roman"/>
          <w:sz w:val="26"/>
          <w:szCs w:val="26"/>
        </w:rPr>
        <w:t>иректор МКП «</w:t>
      </w:r>
      <w:proofErr w:type="spellStart"/>
      <w:r w:rsidR="00F67A84" w:rsidRPr="005129EB">
        <w:rPr>
          <w:rFonts w:ascii="Times New Roman" w:hAnsi="Times New Roman" w:cs="Times New Roman"/>
          <w:sz w:val="26"/>
          <w:szCs w:val="26"/>
        </w:rPr>
        <w:t>Чернівціспецкомунтранс</w:t>
      </w:r>
      <w:proofErr w:type="spellEnd"/>
      <w:r w:rsidR="00F67A84" w:rsidRPr="005129EB">
        <w:rPr>
          <w:rFonts w:ascii="Times New Roman" w:hAnsi="Times New Roman" w:cs="Times New Roman"/>
          <w:sz w:val="26"/>
          <w:szCs w:val="26"/>
        </w:rPr>
        <w:t>»                                             О.С. Летучий</w:t>
      </w:r>
    </w:p>
    <w:sectPr w:rsidR="00F67A84" w:rsidRPr="005129EB" w:rsidSect="005129EB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A90" w:rsidRDefault="00A26A90" w:rsidP="005129EB">
      <w:pPr>
        <w:spacing w:after="0" w:line="240" w:lineRule="auto"/>
      </w:pPr>
      <w:r>
        <w:separator/>
      </w:r>
    </w:p>
  </w:endnote>
  <w:endnote w:type="continuationSeparator" w:id="0">
    <w:p w:rsidR="00A26A90" w:rsidRDefault="00A26A90" w:rsidP="00512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A90" w:rsidRDefault="00A26A90" w:rsidP="005129EB">
      <w:pPr>
        <w:spacing w:after="0" w:line="240" w:lineRule="auto"/>
      </w:pPr>
      <w:r>
        <w:separator/>
      </w:r>
    </w:p>
  </w:footnote>
  <w:footnote w:type="continuationSeparator" w:id="0">
    <w:p w:rsidR="00A26A90" w:rsidRDefault="00A26A90" w:rsidP="00512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2057"/>
      <w:docPartObj>
        <w:docPartGallery w:val="Page Numbers (Top of Page)"/>
        <w:docPartUnique/>
      </w:docPartObj>
    </w:sdtPr>
    <w:sdtEndPr/>
    <w:sdtContent>
      <w:p w:rsidR="005129EB" w:rsidRDefault="005129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8EA" w:rsidRPr="001218EA">
          <w:rPr>
            <w:noProof/>
            <w:lang w:val="ru-RU"/>
          </w:rPr>
          <w:t>2</w:t>
        </w:r>
        <w:r>
          <w:fldChar w:fldCharType="end"/>
        </w:r>
      </w:p>
    </w:sdtContent>
  </w:sdt>
  <w:p w:rsidR="005129EB" w:rsidRDefault="005129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B6"/>
    <w:rsid w:val="001218EA"/>
    <w:rsid w:val="00216431"/>
    <w:rsid w:val="002A48B8"/>
    <w:rsid w:val="003205DC"/>
    <w:rsid w:val="004A2D2F"/>
    <w:rsid w:val="005129EB"/>
    <w:rsid w:val="005B0D63"/>
    <w:rsid w:val="005B7642"/>
    <w:rsid w:val="00880757"/>
    <w:rsid w:val="00962E7E"/>
    <w:rsid w:val="00A26A90"/>
    <w:rsid w:val="00CF010D"/>
    <w:rsid w:val="00E93BFA"/>
    <w:rsid w:val="00EC6C23"/>
    <w:rsid w:val="00EE54B6"/>
    <w:rsid w:val="00F6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9EB"/>
  </w:style>
  <w:style w:type="paragraph" w:styleId="a5">
    <w:name w:val="footer"/>
    <w:basedOn w:val="a"/>
    <w:link w:val="a6"/>
    <w:uiPriority w:val="99"/>
    <w:unhideWhenUsed/>
    <w:rsid w:val="00512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9EB"/>
  </w:style>
  <w:style w:type="paragraph" w:styleId="a5">
    <w:name w:val="footer"/>
    <w:basedOn w:val="a"/>
    <w:link w:val="a6"/>
    <w:uiPriority w:val="99"/>
    <w:unhideWhenUsed/>
    <w:rsid w:val="00512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2428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NewUser</cp:lastModifiedBy>
  <cp:revision>2</cp:revision>
  <dcterms:created xsi:type="dcterms:W3CDTF">2020-04-30T07:45:00Z</dcterms:created>
  <dcterms:modified xsi:type="dcterms:W3CDTF">2020-04-30T07:45:00Z</dcterms:modified>
</cp:coreProperties>
</file>