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877" w:rsidRPr="00065745" w:rsidRDefault="007A7877" w:rsidP="007A7877">
      <w:pPr>
        <w:pStyle w:val="a3"/>
        <w:widowControl w:val="0"/>
        <w:ind w:left="5400"/>
        <w:jc w:val="left"/>
        <w:rPr>
          <w:sz w:val="28"/>
          <w:szCs w:val="28"/>
        </w:rPr>
      </w:pPr>
      <w:r w:rsidRPr="00065745">
        <w:rPr>
          <w:sz w:val="28"/>
          <w:szCs w:val="28"/>
        </w:rPr>
        <w:t xml:space="preserve">Додаток </w:t>
      </w:r>
    </w:p>
    <w:p w:rsidR="007A7877" w:rsidRPr="00065745" w:rsidRDefault="007A7877" w:rsidP="007A7877">
      <w:pPr>
        <w:pStyle w:val="a3"/>
        <w:widowControl w:val="0"/>
        <w:ind w:left="5400"/>
        <w:jc w:val="left"/>
        <w:rPr>
          <w:sz w:val="28"/>
          <w:szCs w:val="28"/>
        </w:rPr>
      </w:pPr>
      <w:r w:rsidRPr="00065745">
        <w:rPr>
          <w:sz w:val="28"/>
          <w:szCs w:val="28"/>
        </w:rPr>
        <w:t xml:space="preserve">до рішення виконавчого комітету міської ради  </w:t>
      </w:r>
    </w:p>
    <w:p w:rsidR="007A7877" w:rsidRPr="00065745" w:rsidRDefault="007A7877" w:rsidP="007A7877">
      <w:pPr>
        <w:pStyle w:val="a3"/>
        <w:widowControl w:val="0"/>
        <w:ind w:left="5400"/>
        <w:jc w:val="left"/>
        <w:rPr>
          <w:sz w:val="28"/>
          <w:szCs w:val="28"/>
        </w:rPr>
      </w:pPr>
      <w:r w:rsidRPr="00C02126">
        <w:rPr>
          <w:b w:val="0"/>
          <w:sz w:val="28"/>
          <w:szCs w:val="28"/>
          <w:u w:val="single"/>
        </w:rPr>
        <w:t>14.12.2016</w:t>
      </w:r>
      <w:r>
        <w:rPr>
          <w:sz w:val="28"/>
          <w:szCs w:val="28"/>
        </w:rPr>
        <w:t xml:space="preserve"> №</w:t>
      </w:r>
      <w:r w:rsidRPr="00C02126">
        <w:rPr>
          <w:sz w:val="28"/>
          <w:szCs w:val="28"/>
        </w:rPr>
        <w:t xml:space="preserve"> </w:t>
      </w:r>
      <w:r w:rsidRPr="00C02126">
        <w:rPr>
          <w:sz w:val="28"/>
          <w:szCs w:val="28"/>
          <w:u w:val="single"/>
        </w:rPr>
        <w:t>753/23</w:t>
      </w:r>
      <w:r w:rsidRPr="00065745">
        <w:rPr>
          <w:sz w:val="28"/>
          <w:szCs w:val="28"/>
        </w:rPr>
        <w:t xml:space="preserve"> </w:t>
      </w:r>
    </w:p>
    <w:p w:rsidR="007A7877" w:rsidRPr="000F221F" w:rsidRDefault="007A7877" w:rsidP="007A7877">
      <w:pPr>
        <w:pStyle w:val="a3"/>
        <w:widowControl w:val="0"/>
        <w:ind w:left="5400"/>
        <w:jc w:val="left"/>
        <w:rPr>
          <w:sz w:val="24"/>
          <w:szCs w:val="24"/>
        </w:rPr>
      </w:pPr>
    </w:p>
    <w:p w:rsidR="007A7877" w:rsidRPr="00065745" w:rsidRDefault="007A7877" w:rsidP="007A7877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  <w:r w:rsidRPr="00065745">
        <w:rPr>
          <w:b/>
          <w:color w:val="000000"/>
          <w:sz w:val="28"/>
          <w:szCs w:val="28"/>
          <w:lang w:val="uk-UA"/>
        </w:rPr>
        <w:t xml:space="preserve">П Е Р </w:t>
      </w:r>
      <w:r>
        <w:rPr>
          <w:b/>
          <w:color w:val="000000"/>
          <w:sz w:val="28"/>
          <w:szCs w:val="28"/>
          <w:lang w:val="uk-UA"/>
        </w:rPr>
        <w:t xml:space="preserve">Е </w:t>
      </w:r>
      <w:r w:rsidRPr="00065745">
        <w:rPr>
          <w:b/>
          <w:color w:val="000000"/>
          <w:sz w:val="28"/>
          <w:szCs w:val="28"/>
          <w:lang w:val="uk-UA"/>
        </w:rPr>
        <w:t>Л І К</w:t>
      </w:r>
    </w:p>
    <w:p w:rsidR="007A7877" w:rsidRPr="00B172FC" w:rsidRDefault="007A7877" w:rsidP="007A7877">
      <w:pPr>
        <w:pStyle w:val="a3"/>
        <w:ind w:right="-6"/>
        <w:rPr>
          <w:sz w:val="28"/>
        </w:rPr>
      </w:pPr>
      <w:r w:rsidRPr="00B172FC">
        <w:rPr>
          <w:sz w:val="28"/>
          <w:szCs w:val="28"/>
        </w:rPr>
        <w:t>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201</w:t>
      </w:r>
      <w:r>
        <w:rPr>
          <w:sz w:val="28"/>
          <w:szCs w:val="28"/>
        </w:rPr>
        <w:t>7</w:t>
      </w:r>
      <w:r w:rsidRPr="00B172FC">
        <w:rPr>
          <w:sz w:val="28"/>
          <w:szCs w:val="28"/>
        </w:rPr>
        <w:t xml:space="preserve"> році</w:t>
      </w:r>
    </w:p>
    <w:p w:rsidR="007A7877" w:rsidRPr="000F221F" w:rsidRDefault="007A7877" w:rsidP="007A7877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4"/>
          <w:szCs w:val="24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7A7877" w:rsidRPr="007512AD" w:rsidTr="008422BA">
        <w:tc>
          <w:tcPr>
            <w:tcW w:w="72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</w:p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80" w:type="dxa"/>
            <w:vAlign w:val="center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Види робіт</w:t>
            </w:r>
          </w:p>
        </w:tc>
        <w:tc>
          <w:tcPr>
            <w:tcW w:w="4320" w:type="dxa"/>
            <w:vAlign w:val="center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Виконавці робіт</w:t>
            </w:r>
          </w:p>
        </w:tc>
      </w:tr>
      <w:tr w:rsidR="007A7877" w:rsidRPr="007512AD" w:rsidTr="008422BA">
        <w:tc>
          <w:tcPr>
            <w:tcW w:w="72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vAlign w:val="center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  <w:vAlign w:val="center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A7877" w:rsidRPr="007512AD" w:rsidTr="008422BA">
        <w:tc>
          <w:tcPr>
            <w:tcW w:w="720" w:type="dxa"/>
          </w:tcPr>
          <w:p w:rsidR="007A7877" w:rsidRPr="007512AD" w:rsidRDefault="007A7877" w:rsidP="008422B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 xml:space="preserve">Благоустрій, озеленення та впорядкування територій міста  (державних та комунальних підприємств, установ, організацій,  об’єктів соціальної сфери, зон відпочинку та туризму),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ліквідація стихійних сміттєзвалищ </w:t>
            </w:r>
            <w:r w:rsidRPr="007512AD">
              <w:rPr>
                <w:sz w:val="28"/>
                <w:szCs w:val="28"/>
                <w:lang w:val="uk-UA"/>
              </w:rPr>
              <w:t xml:space="preserve">та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упорядкування придорожніх смуг, облаштування та розчистка стічних водовідвідних канав у місті Чернівцях</w:t>
            </w:r>
          </w:p>
        </w:tc>
        <w:tc>
          <w:tcPr>
            <w:tcW w:w="4320" w:type="dxa"/>
            <w:vMerge w:val="restart"/>
          </w:tcPr>
          <w:p w:rsidR="007A7877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Виконавчі органи Чернівецької  міської ради: департамент містобудівного комплексу та земельних відносин, департамент економіки,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департамент житлово-комунального господарства, </w:t>
            </w: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епартамент праці та соціального захисту населення, управління культури, управління освіти, управління охорони здоров’я, управління по фізичній культурі та спорту, відділ охорони культурної спадщини, відділ у справах сім’ї та молоді, а також підприємства, установи, та організації, що знаходяться у сфері їх управління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;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Чернівец</w:t>
            </w:r>
            <w:r>
              <w:rPr>
                <w:color w:val="000000"/>
                <w:sz w:val="28"/>
                <w:szCs w:val="28"/>
                <w:lang w:val="uk-UA"/>
              </w:rPr>
              <w:t>ька обласна асоціація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Техноспо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р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proofErr w:type="spellEnd"/>
            <w:r w:rsidRPr="007512AD">
              <w:rPr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.</w:t>
            </w:r>
          </w:p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A7877" w:rsidRPr="007512AD" w:rsidTr="008422BA">
        <w:tc>
          <w:tcPr>
            <w:tcW w:w="720" w:type="dxa"/>
          </w:tcPr>
          <w:p w:rsidR="007A7877" w:rsidRPr="007512AD" w:rsidRDefault="007A7877" w:rsidP="008422B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iCs/>
                <w:color w:val="000000"/>
                <w:sz w:val="28"/>
                <w:szCs w:val="28"/>
                <w:lang w:val="uk-UA"/>
              </w:rPr>
              <w:t>Підсобні р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оботи, пов’язані з ремонтом об'єктів соціальної сфери в місті Чернівцях</w:t>
            </w:r>
          </w:p>
        </w:tc>
        <w:tc>
          <w:tcPr>
            <w:tcW w:w="4320" w:type="dxa"/>
            <w:vMerge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A7877" w:rsidRPr="007512AD" w:rsidTr="008422BA">
        <w:tc>
          <w:tcPr>
            <w:tcW w:w="720" w:type="dxa"/>
          </w:tcPr>
          <w:p w:rsidR="007A7877" w:rsidRPr="007512AD" w:rsidRDefault="007A7877" w:rsidP="008422B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Впорядкування місць меморіального поховання, пам’ятників та пам’ятних місць, які мають офіційний статус, або зареєстровані на території міста Чернівців</w:t>
            </w:r>
          </w:p>
        </w:tc>
        <w:tc>
          <w:tcPr>
            <w:tcW w:w="432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Департамент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житлово-комунального господарства, відділ охорони культурної спадщини, а також підприємства, установи, та організації, що знаходяться у сфері їх управління</w:t>
            </w:r>
          </w:p>
        </w:tc>
      </w:tr>
      <w:tr w:rsidR="007A7877" w:rsidRPr="007512AD" w:rsidTr="008422BA">
        <w:tc>
          <w:tcPr>
            <w:tcW w:w="720" w:type="dxa"/>
            <w:tcBorders>
              <w:bottom w:val="nil"/>
            </w:tcBorders>
          </w:tcPr>
          <w:p w:rsidR="007A7877" w:rsidRPr="007512AD" w:rsidRDefault="007A7877" w:rsidP="008422B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nil"/>
            </w:tcBorders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Роботи, пов’язані з відновлення</w:t>
            </w:r>
            <w:r>
              <w:rPr>
                <w:color w:val="000000"/>
                <w:sz w:val="28"/>
                <w:szCs w:val="28"/>
                <w:lang w:val="uk-UA"/>
              </w:rPr>
              <w:t>м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7512AD">
              <w:rPr>
                <w:color w:val="000000"/>
                <w:sz w:val="28"/>
                <w:szCs w:val="28"/>
                <w:lang w:val="uk-UA"/>
              </w:rPr>
              <w:t>благоустроєм</w:t>
            </w:r>
            <w:proofErr w:type="spellEnd"/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прибережних смуг, природних джерел та водоймищ, </w:t>
            </w:r>
            <w:proofErr w:type="spellStart"/>
            <w:r w:rsidRPr="007512AD">
              <w:rPr>
                <w:color w:val="000000"/>
                <w:sz w:val="28"/>
                <w:szCs w:val="28"/>
                <w:lang w:val="uk-UA"/>
              </w:rPr>
              <w:t>русел</w:t>
            </w:r>
            <w:proofErr w:type="spellEnd"/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річок</w:t>
            </w:r>
          </w:p>
        </w:tc>
        <w:tc>
          <w:tcPr>
            <w:tcW w:w="4320" w:type="dxa"/>
            <w:tcBorders>
              <w:bottom w:val="nil"/>
            </w:tcBorders>
          </w:tcPr>
          <w:p w:rsidR="007A7877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містобудівного комплексу та земельних відносин, департамент житлово-комунального господарства, а також підприємства, установи, та організації, що знаходяться у сфері їх управління</w:t>
            </w:r>
          </w:p>
          <w:p w:rsidR="007A7877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A7877" w:rsidRPr="007512AD" w:rsidTr="008422BA"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Продовження додатка</w:t>
            </w:r>
          </w:p>
        </w:tc>
      </w:tr>
      <w:tr w:rsidR="007A7877" w:rsidRPr="007512AD" w:rsidTr="008422BA">
        <w:tc>
          <w:tcPr>
            <w:tcW w:w="720" w:type="dxa"/>
            <w:tcBorders>
              <w:top w:val="single" w:sz="4" w:space="0" w:color="auto"/>
            </w:tcBorders>
          </w:tcPr>
          <w:p w:rsidR="007A7877" w:rsidRPr="007512AD" w:rsidRDefault="007A7877" w:rsidP="008422BA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A7877" w:rsidRPr="007512AD" w:rsidTr="008422BA">
        <w:tc>
          <w:tcPr>
            <w:tcW w:w="720" w:type="dxa"/>
          </w:tcPr>
          <w:p w:rsidR="007A7877" w:rsidRPr="007512AD" w:rsidRDefault="007A7877" w:rsidP="008422B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7A7877" w:rsidRPr="007512AD" w:rsidRDefault="007A7877" w:rsidP="008422BA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Інформування населення про можливість отримання субсидій за спрощеною процедурою, технічна обробка документів</w:t>
            </w:r>
          </w:p>
        </w:tc>
        <w:tc>
          <w:tcPr>
            <w:tcW w:w="432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Департамент праці та соціального захисту населення, а також підприємства, установи, та організації, що знаходяться у сфері </w:t>
            </w:r>
            <w:r>
              <w:rPr>
                <w:color w:val="000000"/>
                <w:sz w:val="28"/>
                <w:szCs w:val="28"/>
                <w:lang w:val="uk-UA"/>
              </w:rPr>
              <w:t>його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управління</w:t>
            </w:r>
          </w:p>
        </w:tc>
      </w:tr>
      <w:tr w:rsidR="007A7877" w:rsidRPr="007512AD" w:rsidTr="008422BA">
        <w:tc>
          <w:tcPr>
            <w:tcW w:w="720" w:type="dxa"/>
          </w:tcPr>
          <w:p w:rsidR="007A7877" w:rsidRPr="007512AD" w:rsidRDefault="007A7877" w:rsidP="008422B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Догляд та надання допомоги особам похилого віку та інвалідам, дітям-сиротам</w:t>
            </w:r>
          </w:p>
        </w:tc>
        <w:tc>
          <w:tcPr>
            <w:tcW w:w="432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управління охорони здоров’я, відділ у справах сім’ї та молоді, а також підприємства, установи, та організації, що знаходяться у сфері їх управління; чернівецька міська організація товариства Червоного Хреста України</w:t>
            </w:r>
          </w:p>
        </w:tc>
      </w:tr>
      <w:tr w:rsidR="007A7877" w:rsidRPr="007512AD" w:rsidTr="008422BA">
        <w:tc>
          <w:tcPr>
            <w:tcW w:w="720" w:type="dxa"/>
          </w:tcPr>
          <w:p w:rsidR="007A7877" w:rsidRPr="007512AD" w:rsidRDefault="007A7877" w:rsidP="008422B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 з відновлення та по догляду заповідників, пам’яток архітектури, історії та культури</w:t>
            </w:r>
          </w:p>
        </w:tc>
        <w:tc>
          <w:tcPr>
            <w:tcW w:w="432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житлово-комунального господарства, управління культури, відділ охорони культурної спадщини, а також підприємства, установи, та організації, що знаходяться у сфері їх управління</w:t>
            </w:r>
          </w:p>
        </w:tc>
      </w:tr>
      <w:tr w:rsidR="007A7877" w:rsidRPr="007512AD" w:rsidTr="008422BA">
        <w:tc>
          <w:tcPr>
            <w:tcW w:w="720" w:type="dxa"/>
          </w:tcPr>
          <w:p w:rsidR="007A7877" w:rsidRPr="007512AD" w:rsidRDefault="007A7877" w:rsidP="008422B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Робота в музеях та з відновлення бібліотечного фонду в бібліотеках, роботи в архівах з документацією</w:t>
            </w:r>
          </w:p>
        </w:tc>
        <w:tc>
          <w:tcPr>
            <w:tcW w:w="432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Управління культури, відділ охорони культурної спадщини, а також підприємства, установи, та організації, що знаходяться у сфері їх управління</w:t>
            </w:r>
          </w:p>
        </w:tc>
      </w:tr>
      <w:tr w:rsidR="007A7877" w:rsidRPr="007512AD" w:rsidTr="008422BA">
        <w:tc>
          <w:tcPr>
            <w:tcW w:w="720" w:type="dxa"/>
          </w:tcPr>
          <w:p w:rsidR="007A7877" w:rsidRPr="007512AD" w:rsidRDefault="007A7877" w:rsidP="008422B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Роботи, пов’язані із проведенням перепису населення</w:t>
            </w:r>
          </w:p>
        </w:tc>
        <w:tc>
          <w:tcPr>
            <w:tcW w:w="4320" w:type="dxa"/>
          </w:tcPr>
          <w:p w:rsidR="007A7877" w:rsidRPr="007512AD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Відділи ведення Державного реєстру виборців міської ради у районах міста Чернівців</w:t>
            </w:r>
          </w:p>
        </w:tc>
      </w:tr>
      <w:tr w:rsidR="007A7877" w:rsidRPr="007512AD" w:rsidTr="008422BA">
        <w:tc>
          <w:tcPr>
            <w:tcW w:w="720" w:type="dxa"/>
          </w:tcPr>
          <w:p w:rsidR="007A7877" w:rsidRPr="007512AD" w:rsidRDefault="007A7877" w:rsidP="008422B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A7877" w:rsidRPr="00880144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0144">
              <w:rPr>
                <w:sz w:val="28"/>
                <w:szCs w:val="28"/>
                <w:lang w:val="uk-UA"/>
              </w:rPr>
              <w:t>Супровід інвалідів по зору</w:t>
            </w:r>
          </w:p>
        </w:tc>
        <w:tc>
          <w:tcPr>
            <w:tcW w:w="4320" w:type="dxa"/>
          </w:tcPr>
          <w:p w:rsidR="007A7877" w:rsidRPr="00880144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80144">
              <w:rPr>
                <w:color w:val="000000"/>
                <w:sz w:val="28"/>
                <w:szCs w:val="28"/>
                <w:lang w:val="uk-UA"/>
              </w:rPr>
              <w:t>Чернівецька обласна організація УТОС</w:t>
            </w:r>
          </w:p>
        </w:tc>
      </w:tr>
      <w:tr w:rsidR="007A7877" w:rsidRPr="007512AD" w:rsidTr="008422BA">
        <w:tc>
          <w:tcPr>
            <w:tcW w:w="720" w:type="dxa"/>
          </w:tcPr>
          <w:p w:rsidR="007A7877" w:rsidRPr="007512AD" w:rsidRDefault="007A7877" w:rsidP="008422B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A7877" w:rsidRPr="00934D83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Допомога в оформленні документів, соціальний супровід, робота по догляду за особами похилого віку, інвалідами та інші роботи пов</w:t>
            </w:r>
            <w:r w:rsidRPr="00934D8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язані із забезпеченням соціального </w:t>
            </w:r>
            <w:proofErr w:type="spellStart"/>
            <w:r>
              <w:rPr>
                <w:sz w:val="28"/>
                <w:szCs w:val="28"/>
                <w:lang w:val="uk-UA"/>
              </w:rPr>
              <w:t>супровіду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або стороннього догляду за ЛЖВ, прибирання нежитлових </w:t>
            </w:r>
            <w:proofErr w:type="spellStart"/>
            <w:r>
              <w:rPr>
                <w:sz w:val="28"/>
                <w:szCs w:val="28"/>
                <w:lang w:val="uk-UA"/>
              </w:rPr>
              <w:t>приміщень,в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яких здійснюється медико-соціальна та психологічна </w:t>
            </w:r>
            <w:r>
              <w:rPr>
                <w:sz w:val="28"/>
                <w:szCs w:val="28"/>
                <w:lang w:val="uk-UA"/>
              </w:rPr>
              <w:lastRenderedPageBreak/>
              <w:t>допомога</w:t>
            </w:r>
          </w:p>
        </w:tc>
        <w:tc>
          <w:tcPr>
            <w:tcW w:w="4320" w:type="dxa"/>
          </w:tcPr>
          <w:p w:rsidR="007A7877" w:rsidRPr="00880144" w:rsidRDefault="007A7877" w:rsidP="008422B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Всеукраїнська мережа людей, які живуть з ВІЛ/СНІД</w:t>
            </w:r>
          </w:p>
        </w:tc>
      </w:tr>
    </w:tbl>
    <w:p w:rsidR="007A7877" w:rsidRDefault="007A7877" w:rsidP="007A7877">
      <w:pPr>
        <w:pStyle w:val="a3"/>
        <w:widowControl w:val="0"/>
        <w:jc w:val="left"/>
        <w:rPr>
          <w:sz w:val="28"/>
          <w:szCs w:val="28"/>
        </w:rPr>
      </w:pPr>
    </w:p>
    <w:p w:rsidR="007A7877" w:rsidRDefault="007A7877" w:rsidP="007A7877">
      <w:pPr>
        <w:pStyle w:val="a3"/>
        <w:widowControl w:val="0"/>
        <w:jc w:val="left"/>
        <w:rPr>
          <w:sz w:val="28"/>
          <w:szCs w:val="28"/>
        </w:rPr>
      </w:pPr>
    </w:p>
    <w:p w:rsidR="007A7877" w:rsidRDefault="007A7877" w:rsidP="007A7877">
      <w:pPr>
        <w:pStyle w:val="a3"/>
        <w:jc w:val="left"/>
        <w:rPr>
          <w:sz w:val="28"/>
        </w:rPr>
      </w:pPr>
      <w:r>
        <w:rPr>
          <w:sz w:val="28"/>
        </w:rPr>
        <w:t>Чернівецький міський голова                                            О. Каспрук</w:t>
      </w:r>
    </w:p>
    <w:p w:rsidR="007A7877" w:rsidRDefault="007A7877" w:rsidP="007A7877">
      <w:pPr>
        <w:pStyle w:val="a3"/>
        <w:jc w:val="left"/>
      </w:pPr>
    </w:p>
    <w:p w:rsidR="007A7877" w:rsidRDefault="007A7877" w:rsidP="007A7877">
      <w:pPr>
        <w:pStyle w:val="a3"/>
        <w:jc w:val="left"/>
        <w:rPr>
          <w:sz w:val="28"/>
        </w:rPr>
      </w:pPr>
    </w:p>
    <w:p w:rsidR="007A7877" w:rsidRDefault="007A7877" w:rsidP="007A7877">
      <w:pPr>
        <w:pStyle w:val="a3"/>
        <w:jc w:val="left"/>
        <w:rPr>
          <w:sz w:val="28"/>
        </w:rPr>
      </w:pPr>
    </w:p>
    <w:p w:rsidR="007A7877" w:rsidRDefault="007A7877" w:rsidP="007A7877">
      <w:pPr>
        <w:pStyle w:val="a3"/>
        <w:jc w:val="left"/>
        <w:rPr>
          <w:sz w:val="28"/>
        </w:rPr>
      </w:pPr>
    </w:p>
    <w:p w:rsidR="007A7877" w:rsidRDefault="007A7877" w:rsidP="007A7877"/>
    <w:p w:rsidR="007A7877" w:rsidRDefault="007A7877" w:rsidP="007A7877"/>
    <w:p w:rsidR="006F75BE" w:rsidRDefault="006F75BE">
      <w:bookmarkStart w:id="0" w:name="_GoBack"/>
      <w:bookmarkEnd w:id="0"/>
    </w:p>
    <w:sectPr w:rsidR="006F7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63665"/>
    <w:multiLevelType w:val="hybridMultilevel"/>
    <w:tmpl w:val="5CD0E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877"/>
    <w:rsid w:val="006F75BE"/>
    <w:rsid w:val="007A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E8ADC-C43A-4A41-9FB9-ECFE2C42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7877"/>
    <w:pPr>
      <w:jc w:val="center"/>
    </w:pPr>
    <w:rPr>
      <w:b/>
      <w:lang w:val="uk-UA"/>
    </w:rPr>
  </w:style>
  <w:style w:type="character" w:customStyle="1" w:styleId="a4">
    <w:name w:val="Заголовок Знак"/>
    <w:basedOn w:val="a0"/>
    <w:link w:val="a3"/>
    <w:rsid w:val="007A7877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2017-01-17T12:02:00Z</dcterms:created>
  <dcterms:modified xsi:type="dcterms:W3CDTF">2017-01-17T12:02:00Z</dcterms:modified>
</cp:coreProperties>
</file>