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Pr="00D55B4F" w:rsidRDefault="001178C0" w:rsidP="00D024E5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D024E5" w:rsidRPr="00D55B4F" w:rsidRDefault="001477DA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</w:t>
      </w:r>
      <w:r w:rsidR="00EB0BC4">
        <w:rPr>
          <w:b/>
          <w:sz w:val="32"/>
          <w:szCs w:val="32"/>
        </w:rPr>
        <w:t xml:space="preserve"> </w:t>
      </w:r>
      <w:r w:rsidR="00D024E5" w:rsidRPr="00D55B4F">
        <w:rPr>
          <w:b/>
          <w:sz w:val="32"/>
          <w:szCs w:val="32"/>
        </w:rPr>
        <w:t xml:space="preserve">сесія  VІІ скликання </w:t>
      </w:r>
    </w:p>
    <w:p w:rsidR="00D024E5" w:rsidRPr="00D55B4F" w:rsidRDefault="00D024E5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>Р  І  Ш  Е  Н  Н  Я</w:t>
      </w:r>
    </w:p>
    <w:p w:rsidR="00D024E5" w:rsidRPr="00D55B4F" w:rsidRDefault="00D024E5" w:rsidP="00D024E5">
      <w:pPr>
        <w:rPr>
          <w:lang w:eastAsia="uk-UA"/>
        </w:rPr>
      </w:pPr>
    </w:p>
    <w:p w:rsidR="00D024E5" w:rsidRPr="00D55B4F" w:rsidRDefault="00D024E5" w:rsidP="00D024E5">
      <w:pPr>
        <w:pStyle w:val="3"/>
        <w:jc w:val="center"/>
        <w:rPr>
          <w:sz w:val="16"/>
          <w:szCs w:val="16"/>
        </w:rPr>
      </w:pPr>
    </w:p>
    <w:p w:rsidR="00D024E5" w:rsidRPr="00D55B4F" w:rsidRDefault="001477DA" w:rsidP="00D024E5">
      <w:pPr>
        <w:rPr>
          <w:b/>
          <w:i/>
          <w:szCs w:val="28"/>
          <w:u w:val="single"/>
        </w:rPr>
      </w:pPr>
      <w:r w:rsidRPr="001477DA">
        <w:rPr>
          <w:szCs w:val="28"/>
        </w:rPr>
        <w:t>_________</w:t>
      </w:r>
      <w:r w:rsidR="00D024E5" w:rsidRPr="00D55B4F">
        <w:rPr>
          <w:szCs w:val="28"/>
        </w:rPr>
        <w:t xml:space="preserve"> №</w:t>
      </w:r>
      <w:r w:rsidR="00022839">
        <w:rPr>
          <w:szCs w:val="28"/>
        </w:rPr>
        <w:t xml:space="preserve"> </w:t>
      </w:r>
      <w:r>
        <w:rPr>
          <w:szCs w:val="28"/>
        </w:rPr>
        <w:t>_____</w:t>
      </w:r>
      <w:r w:rsidR="00022839">
        <w:rPr>
          <w:szCs w:val="28"/>
        </w:rPr>
        <w:t xml:space="preserve"> </w:t>
      </w:r>
      <w:r w:rsidR="00D024E5" w:rsidRPr="00D55B4F">
        <w:rPr>
          <w:i/>
          <w:szCs w:val="28"/>
        </w:rPr>
        <w:tab/>
      </w:r>
      <w:r w:rsidR="00D024E5" w:rsidRPr="00D55B4F">
        <w:rPr>
          <w:i/>
          <w:szCs w:val="28"/>
        </w:rPr>
        <w:tab/>
        <w:t xml:space="preserve">          </w:t>
      </w:r>
      <w:r w:rsidR="00022839">
        <w:rPr>
          <w:i/>
          <w:szCs w:val="28"/>
        </w:rPr>
        <w:t xml:space="preserve">                            </w:t>
      </w:r>
      <w:r w:rsidR="00D024E5" w:rsidRPr="00D55B4F">
        <w:rPr>
          <w:i/>
          <w:szCs w:val="28"/>
        </w:rPr>
        <w:t xml:space="preserve">                </w:t>
      </w:r>
      <w:r w:rsidR="008601B2" w:rsidRPr="00D55B4F">
        <w:rPr>
          <w:i/>
          <w:szCs w:val="28"/>
        </w:rPr>
        <w:tab/>
        <w:t xml:space="preserve">       </w:t>
      </w:r>
      <w:r w:rsidR="00D024E5" w:rsidRPr="00D55B4F">
        <w:rPr>
          <w:szCs w:val="28"/>
        </w:rPr>
        <w:t>м. Чернівці</w:t>
      </w:r>
      <w:r w:rsidR="00D024E5" w:rsidRPr="00D55B4F">
        <w:rPr>
          <w:b/>
          <w:i/>
          <w:szCs w:val="28"/>
          <w:u w:val="single"/>
        </w:rPr>
        <w:t xml:space="preserve">  </w:t>
      </w:r>
      <w:r w:rsidR="00CC5B71"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spacing w:line="216" w:lineRule="auto"/>
        <w:rPr>
          <w:sz w:val="16"/>
          <w:szCs w:val="16"/>
        </w:rPr>
      </w:pPr>
    </w:p>
    <w:p w:rsidR="00950C8B" w:rsidRPr="00D55B4F" w:rsidRDefault="00D024E5" w:rsidP="00D024E5">
      <w:pPr>
        <w:pStyle w:val="3"/>
        <w:jc w:val="center"/>
      </w:pPr>
      <w:bookmarkStart w:id="0" w:name="_GoBack"/>
      <w:r w:rsidRPr="00D55B4F">
        <w:rPr>
          <w:szCs w:val="28"/>
        </w:rPr>
        <w:t xml:space="preserve">Про внесення змін </w:t>
      </w:r>
      <w:r w:rsidR="00EC497C">
        <w:rPr>
          <w:szCs w:val="28"/>
        </w:rPr>
        <w:t>і доповнень</w:t>
      </w:r>
      <w:r w:rsidRPr="00D55B4F">
        <w:rPr>
          <w:szCs w:val="28"/>
        </w:rPr>
        <w:t xml:space="preserve"> до  Програми </w:t>
      </w:r>
      <w:r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 на 201</w:t>
      </w:r>
      <w:r w:rsidR="001477DA">
        <w:t>9</w:t>
      </w:r>
      <w:r w:rsidRPr="00D55B4F">
        <w:t>-20</w:t>
      </w:r>
      <w:r w:rsidR="001477DA">
        <w:t>2</w:t>
      </w:r>
      <w:r w:rsidRPr="00D55B4F">
        <w:t>1 роки</w:t>
      </w:r>
    </w:p>
    <w:bookmarkEnd w:id="0"/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950C8B" w:rsidRPr="00D55B4F" w:rsidRDefault="00950C8B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D024E5" w:rsidRPr="00D55B4F" w:rsidRDefault="00D024E5" w:rsidP="00D024E5">
      <w:pPr>
        <w:jc w:val="center"/>
        <w:rPr>
          <w:sz w:val="16"/>
          <w:szCs w:val="16"/>
        </w:rPr>
      </w:pPr>
    </w:p>
    <w:p w:rsidR="00D024E5" w:rsidRPr="00D55B4F" w:rsidRDefault="00D024E5" w:rsidP="001477DA">
      <w:pPr>
        <w:pStyle w:val="3"/>
        <w:jc w:val="both"/>
        <w:rPr>
          <w:szCs w:val="28"/>
        </w:rPr>
      </w:pPr>
      <w:r w:rsidRPr="00D55B4F">
        <w:rPr>
          <w:szCs w:val="28"/>
        </w:rPr>
        <w:t xml:space="preserve">        1</w:t>
      </w:r>
      <w:r w:rsidRPr="00D55B4F">
        <w:rPr>
          <w:bCs/>
          <w:szCs w:val="28"/>
        </w:rPr>
        <w:t xml:space="preserve">. </w:t>
      </w:r>
      <w:r w:rsidRPr="00D55B4F">
        <w:rPr>
          <w:szCs w:val="28"/>
        </w:rPr>
        <w:t xml:space="preserve"> </w:t>
      </w:r>
      <w:r w:rsidRPr="001477DA">
        <w:rPr>
          <w:b w:val="0"/>
          <w:szCs w:val="28"/>
        </w:rPr>
        <w:t>Внести зміни</w:t>
      </w:r>
      <w:r w:rsidR="00EB0BC4" w:rsidRPr="001477DA">
        <w:rPr>
          <w:b w:val="0"/>
          <w:szCs w:val="28"/>
        </w:rPr>
        <w:t xml:space="preserve"> і доповнення</w:t>
      </w:r>
      <w:r w:rsidRPr="001477DA">
        <w:rPr>
          <w:b w:val="0"/>
          <w:szCs w:val="28"/>
        </w:rPr>
        <w:t xml:space="preserve"> в додат</w:t>
      </w:r>
      <w:r w:rsidR="001477DA" w:rsidRPr="001477DA">
        <w:rPr>
          <w:b w:val="0"/>
          <w:szCs w:val="28"/>
        </w:rPr>
        <w:t>о</w:t>
      </w:r>
      <w:r w:rsidRPr="001477DA">
        <w:rPr>
          <w:b w:val="0"/>
          <w:szCs w:val="28"/>
        </w:rPr>
        <w:t xml:space="preserve">к 3  Програми </w:t>
      </w:r>
      <w:r w:rsidR="001477DA" w:rsidRPr="001477DA">
        <w:rPr>
          <w:b w:val="0"/>
        </w:rPr>
        <w:t>підтримки громадян міста Чернівців, які брали участь у військових діях в східних регіонах України, членів їх сімей та сімей загиблих (померлих)</w:t>
      </w:r>
      <w:r w:rsidR="001477DA">
        <w:rPr>
          <w:b w:val="0"/>
        </w:rPr>
        <w:t xml:space="preserve"> </w:t>
      </w:r>
      <w:r w:rsidR="001477DA" w:rsidRPr="001477DA">
        <w:rPr>
          <w:b w:val="0"/>
        </w:rPr>
        <w:t>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на 2019-2021 роки</w:t>
      </w:r>
      <w:r w:rsidRPr="001477DA">
        <w:rPr>
          <w:b w:val="0"/>
          <w:szCs w:val="28"/>
        </w:rPr>
        <w:t xml:space="preserve">, затвердженої рішенням міської ради VIІ скликання </w:t>
      </w:r>
      <w:r w:rsidR="001477DA">
        <w:rPr>
          <w:b w:val="0"/>
          <w:szCs w:val="28"/>
        </w:rPr>
        <w:br/>
      </w:r>
      <w:r w:rsidRPr="001477DA">
        <w:rPr>
          <w:b w:val="0"/>
          <w:szCs w:val="28"/>
        </w:rPr>
        <w:t>від 2</w:t>
      </w:r>
      <w:r w:rsidR="001477DA" w:rsidRPr="001477DA">
        <w:rPr>
          <w:b w:val="0"/>
          <w:szCs w:val="28"/>
        </w:rPr>
        <w:t>5</w:t>
      </w:r>
      <w:r w:rsidRPr="001477DA">
        <w:rPr>
          <w:b w:val="0"/>
          <w:szCs w:val="28"/>
        </w:rPr>
        <w:t>.</w:t>
      </w:r>
      <w:r w:rsidR="001477DA" w:rsidRPr="001477DA">
        <w:rPr>
          <w:b w:val="0"/>
          <w:szCs w:val="28"/>
        </w:rPr>
        <w:t>1</w:t>
      </w:r>
      <w:r w:rsidRPr="001477DA">
        <w:rPr>
          <w:b w:val="0"/>
          <w:szCs w:val="28"/>
        </w:rPr>
        <w:t>0.201</w:t>
      </w:r>
      <w:r w:rsidR="001477DA" w:rsidRPr="001477DA">
        <w:rPr>
          <w:b w:val="0"/>
          <w:szCs w:val="28"/>
        </w:rPr>
        <w:t>8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>р.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 xml:space="preserve">№ </w:t>
      </w:r>
      <w:r w:rsidR="001477DA" w:rsidRPr="001477DA">
        <w:rPr>
          <w:b w:val="0"/>
          <w:szCs w:val="28"/>
        </w:rPr>
        <w:t>1462</w:t>
      </w:r>
      <w:r w:rsidRPr="001477DA">
        <w:rPr>
          <w:b w:val="0"/>
          <w:szCs w:val="28"/>
        </w:rPr>
        <w:t>,  згідно з додатком.</w:t>
      </w:r>
      <w:r w:rsidRPr="00D55B4F">
        <w:rPr>
          <w:szCs w:val="28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 w:rsidR="00EE6DCE"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 w:rsidR="00EE6DCE"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D024E5" w:rsidRPr="00D55B4F" w:rsidRDefault="00D024E5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D024E5" w:rsidRPr="00D55B4F" w:rsidRDefault="00D024E5" w:rsidP="00D024E5">
      <w:pPr>
        <w:pStyle w:val="3"/>
        <w:rPr>
          <w:sz w:val="32"/>
          <w:szCs w:val="32"/>
        </w:rPr>
      </w:pPr>
    </w:p>
    <w:p w:rsidR="00D024E5" w:rsidRPr="00D55B4F" w:rsidRDefault="00022839" w:rsidP="00D024E5">
      <w:pPr>
        <w:pStyle w:val="3"/>
      </w:pPr>
      <w:r>
        <w:t>Секретар Чернівецької міської ради</w:t>
      </w:r>
      <w:r w:rsidR="00D024E5" w:rsidRPr="00D55B4F">
        <w:t xml:space="preserve">                                                 </w:t>
      </w:r>
      <w:r>
        <w:t>В. Продан</w:t>
      </w:r>
    </w:p>
    <w:p w:rsidR="00D024E5" w:rsidRPr="00D55B4F" w:rsidRDefault="00D024E5" w:rsidP="00D024E5">
      <w:pPr>
        <w:rPr>
          <w:lang w:eastAsia="uk-UA"/>
        </w:rPr>
      </w:pPr>
    </w:p>
    <w:p w:rsidR="00D024E5" w:rsidRDefault="00D024E5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D024E5" w:rsidRPr="00D55B4F" w:rsidRDefault="00D024E5" w:rsidP="00D024E5">
      <w:pPr>
        <w:rPr>
          <w:b/>
          <w:sz w:val="24"/>
          <w:szCs w:val="24"/>
        </w:rPr>
        <w:sectPr w:rsidR="00D024E5" w:rsidRPr="00D55B4F" w:rsidSect="000158AD">
          <w:pgSz w:w="11906" w:h="16838"/>
          <w:pgMar w:top="899" w:right="567" w:bottom="360" w:left="1701" w:header="709" w:footer="709" w:gutter="0"/>
          <w:cols w:space="720"/>
        </w:sectPr>
      </w:pPr>
    </w:p>
    <w:p w:rsidR="00D024E5" w:rsidRPr="00D55B4F" w:rsidRDefault="00D024E5" w:rsidP="00D024E5">
      <w:pPr>
        <w:tabs>
          <w:tab w:val="left" w:pos="6120"/>
          <w:tab w:val="right" w:pos="9355"/>
        </w:tabs>
        <w:rPr>
          <w:b/>
          <w:szCs w:val="28"/>
        </w:rPr>
      </w:pPr>
      <w:r w:rsidRPr="00D55B4F"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 </w:t>
      </w:r>
      <w:r w:rsidRPr="00D55B4F">
        <w:rPr>
          <w:b/>
          <w:szCs w:val="28"/>
        </w:rPr>
        <w:t>Додаток</w:t>
      </w:r>
    </w:p>
    <w:p w:rsidR="00D024E5" w:rsidRPr="00D55B4F" w:rsidRDefault="00D024E5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Pr="00D55B4F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="00EA798F">
        <w:rPr>
          <w:b/>
          <w:szCs w:val="28"/>
          <w:u w:val="single"/>
        </w:rPr>
        <w:t>___________</w:t>
      </w:r>
      <w:r w:rsidRPr="00D55B4F">
        <w:rPr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="00EA798F">
        <w:rPr>
          <w:b/>
          <w:szCs w:val="28"/>
          <w:u w:val="single"/>
        </w:rPr>
        <w:t>_____</w:t>
      </w:r>
    </w:p>
    <w:p w:rsidR="00D024E5" w:rsidRPr="00EE69BE" w:rsidRDefault="00D024E5" w:rsidP="00D024E5">
      <w:pPr>
        <w:tabs>
          <w:tab w:val="left" w:pos="10800"/>
        </w:tabs>
        <w:rPr>
          <w:b/>
          <w:sz w:val="20"/>
        </w:rPr>
      </w:pPr>
    </w:p>
    <w:p w:rsidR="001477DA" w:rsidRPr="00D55B4F" w:rsidRDefault="00D024E5" w:rsidP="001477DA">
      <w:pPr>
        <w:pStyle w:val="3"/>
        <w:jc w:val="center"/>
      </w:pPr>
      <w:r w:rsidRPr="001477DA">
        <w:rPr>
          <w:szCs w:val="28"/>
        </w:rPr>
        <w:t xml:space="preserve">Зміни </w:t>
      </w:r>
      <w:r w:rsidR="00EC497C" w:rsidRPr="001477DA">
        <w:rPr>
          <w:szCs w:val="28"/>
        </w:rPr>
        <w:t xml:space="preserve">і доповнення </w:t>
      </w:r>
      <w:r w:rsidRPr="001477DA">
        <w:rPr>
          <w:szCs w:val="28"/>
        </w:rPr>
        <w:t>до  Програми</w:t>
      </w:r>
      <w:r w:rsidRPr="00D55B4F">
        <w:rPr>
          <w:b w:val="0"/>
          <w:szCs w:val="28"/>
        </w:rPr>
        <w:t xml:space="preserve"> </w:t>
      </w:r>
      <w:r w:rsidR="001477DA"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="001477DA"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1477DA" w:rsidRPr="00D55B4F" w:rsidRDefault="001477DA" w:rsidP="001477DA">
      <w:pPr>
        <w:pStyle w:val="3"/>
        <w:jc w:val="center"/>
      </w:pPr>
      <w:r w:rsidRPr="00D55B4F">
        <w:t>у період з 21.11.2013 р. по 21.02.2014 р.,  на 201</w:t>
      </w:r>
      <w:r>
        <w:t>9</w:t>
      </w:r>
      <w:r w:rsidRPr="00D55B4F">
        <w:t>-20</w:t>
      </w:r>
      <w:r>
        <w:t>2</w:t>
      </w:r>
      <w:r w:rsidRPr="00D55B4F">
        <w:t>1 роки</w:t>
      </w:r>
    </w:p>
    <w:p w:rsidR="00D024E5" w:rsidRPr="00D55B4F" w:rsidRDefault="00D024E5" w:rsidP="00D024E5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</w:t>
      </w:r>
      <w:r w:rsidR="001477DA">
        <w:rPr>
          <w:b/>
          <w:szCs w:val="28"/>
        </w:rPr>
        <w:t>5</w:t>
      </w:r>
      <w:r w:rsidRPr="00D55B4F">
        <w:rPr>
          <w:b/>
          <w:szCs w:val="28"/>
        </w:rPr>
        <w:t>.</w:t>
      </w:r>
      <w:r w:rsidR="001477DA">
        <w:rPr>
          <w:b/>
          <w:szCs w:val="28"/>
        </w:rPr>
        <w:t>1</w:t>
      </w:r>
      <w:r w:rsidRPr="00D55B4F">
        <w:rPr>
          <w:b/>
          <w:szCs w:val="28"/>
        </w:rPr>
        <w:t>0.201</w:t>
      </w:r>
      <w:r w:rsidR="001477DA">
        <w:rPr>
          <w:b/>
          <w:szCs w:val="28"/>
        </w:rPr>
        <w:t>8</w:t>
      </w:r>
      <w:r w:rsidRPr="00D55B4F">
        <w:rPr>
          <w:b/>
          <w:szCs w:val="28"/>
        </w:rPr>
        <w:t xml:space="preserve"> р. № </w:t>
      </w:r>
      <w:r w:rsidR="001477DA">
        <w:rPr>
          <w:b/>
          <w:szCs w:val="28"/>
        </w:rPr>
        <w:t>1462</w:t>
      </w:r>
    </w:p>
    <w:p w:rsidR="00EB0BC4" w:rsidRPr="00D55B4F" w:rsidRDefault="00EE69BE" w:rsidP="00EE69BE">
      <w:pPr>
        <w:tabs>
          <w:tab w:val="left" w:pos="3885"/>
        </w:tabs>
        <w:ind w:firstLine="540"/>
        <w:rPr>
          <w:sz w:val="16"/>
          <w:szCs w:val="16"/>
        </w:rPr>
      </w:pPr>
      <w:r>
        <w:rPr>
          <w:sz w:val="16"/>
          <w:szCs w:val="16"/>
        </w:rPr>
        <w:tab/>
      </w:r>
    </w:p>
    <w:p w:rsidR="00EB0BC4" w:rsidRDefault="00EA798F" w:rsidP="00EB0BC4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="00EB0BC4" w:rsidRPr="00D55B4F">
        <w:rPr>
          <w:b/>
          <w:szCs w:val="28"/>
        </w:rPr>
        <w:t xml:space="preserve">.  В додатку </w:t>
      </w:r>
      <w:r w:rsidR="001477DA">
        <w:rPr>
          <w:b/>
          <w:szCs w:val="28"/>
        </w:rPr>
        <w:t>3</w:t>
      </w:r>
      <w:r w:rsidR="00EB0BC4" w:rsidRPr="00D55B4F">
        <w:rPr>
          <w:b/>
          <w:szCs w:val="28"/>
        </w:rPr>
        <w:t xml:space="preserve"> </w:t>
      </w:r>
      <w:r w:rsidR="00EB0BC4" w:rsidRPr="00D55B4F">
        <w:rPr>
          <w:szCs w:val="28"/>
        </w:rPr>
        <w:t xml:space="preserve">до Програми </w:t>
      </w:r>
      <w:r w:rsidR="00EB0BC4">
        <w:rPr>
          <w:szCs w:val="28"/>
        </w:rPr>
        <w:t xml:space="preserve">«Заходи Програми </w:t>
      </w:r>
      <w:r w:rsidR="00EB0BC4" w:rsidRPr="00D55B4F">
        <w:rPr>
          <w:szCs w:val="28"/>
        </w:rPr>
        <w:t xml:space="preserve">підтримки </w:t>
      </w:r>
      <w:r w:rsidR="008F7224">
        <w:rPr>
          <w:szCs w:val="28"/>
        </w:rPr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 і</w:t>
      </w:r>
      <w:r w:rsidR="00EB0BC4" w:rsidRPr="00D55B4F">
        <w:rPr>
          <w:szCs w:val="28"/>
        </w:rPr>
        <w:t xml:space="preserve"> волонтерів, померлих осіб, смерть яких пов’язана з участю в масових акціях громадського протесту, що відбулися у період</w:t>
      </w:r>
      <w:r w:rsidR="008F7224">
        <w:rPr>
          <w:szCs w:val="28"/>
        </w:rPr>
        <w:br/>
      </w:r>
      <w:r w:rsidR="00EB0BC4" w:rsidRPr="00D55B4F">
        <w:rPr>
          <w:szCs w:val="28"/>
        </w:rPr>
        <w:t>з 21.11.2013 р</w:t>
      </w:r>
      <w:r w:rsidR="00EB0BC4">
        <w:rPr>
          <w:szCs w:val="28"/>
        </w:rPr>
        <w:t xml:space="preserve">. </w:t>
      </w:r>
      <w:r w:rsidR="00EB0BC4" w:rsidRPr="00D55B4F">
        <w:rPr>
          <w:szCs w:val="28"/>
        </w:rPr>
        <w:t>по 21.02.2014 р., на 201</w:t>
      </w:r>
      <w:r w:rsidR="008F7224">
        <w:rPr>
          <w:szCs w:val="28"/>
        </w:rPr>
        <w:t>9</w:t>
      </w:r>
      <w:r w:rsidR="00EB0BC4" w:rsidRPr="00D55B4F">
        <w:rPr>
          <w:szCs w:val="28"/>
        </w:rPr>
        <w:t>-20</w:t>
      </w:r>
      <w:r w:rsidR="008F7224">
        <w:rPr>
          <w:szCs w:val="28"/>
        </w:rPr>
        <w:t>2</w:t>
      </w:r>
      <w:r w:rsidR="00EB0BC4" w:rsidRPr="00D55B4F">
        <w:rPr>
          <w:szCs w:val="28"/>
        </w:rPr>
        <w:t>1 роки</w:t>
      </w:r>
      <w:r w:rsidR="00EB0BC4">
        <w:rPr>
          <w:szCs w:val="28"/>
        </w:rPr>
        <w:t>»</w:t>
      </w:r>
      <w:r w:rsidR="00EB0BC4" w:rsidRPr="00D55B4F">
        <w:rPr>
          <w:szCs w:val="28"/>
        </w:rPr>
        <w:t>:</w:t>
      </w:r>
    </w:p>
    <w:p w:rsidR="00EB0BC4" w:rsidRPr="00EE69BE" w:rsidRDefault="00EB0BC4" w:rsidP="00EB0BC4">
      <w:pPr>
        <w:ind w:firstLine="540"/>
        <w:jc w:val="both"/>
        <w:rPr>
          <w:sz w:val="16"/>
          <w:szCs w:val="16"/>
        </w:rPr>
      </w:pPr>
    </w:p>
    <w:p w:rsidR="00EB0BC4" w:rsidRDefault="00EA798F" w:rsidP="00EB0BC4">
      <w:pPr>
        <w:ind w:firstLine="540"/>
        <w:rPr>
          <w:szCs w:val="28"/>
        </w:rPr>
      </w:pPr>
      <w:r>
        <w:rPr>
          <w:b/>
          <w:szCs w:val="28"/>
        </w:rPr>
        <w:t>1</w:t>
      </w:r>
      <w:r w:rsidR="00EB0BC4" w:rsidRPr="00D55B4F">
        <w:rPr>
          <w:b/>
          <w:szCs w:val="28"/>
        </w:rPr>
        <w:t xml:space="preserve">.1.  </w:t>
      </w:r>
      <w:r>
        <w:rPr>
          <w:b/>
          <w:szCs w:val="28"/>
        </w:rPr>
        <w:t>П</w:t>
      </w:r>
      <w:r w:rsidR="00EB0BC4" w:rsidRPr="00D55B4F">
        <w:rPr>
          <w:b/>
          <w:szCs w:val="28"/>
        </w:rPr>
        <w:t>ункт</w:t>
      </w:r>
      <w:r w:rsidR="00EE69BE">
        <w:rPr>
          <w:b/>
          <w:szCs w:val="28"/>
        </w:rPr>
        <w:t>и</w:t>
      </w:r>
      <w:r w:rsidR="00EB0BC4">
        <w:rPr>
          <w:b/>
          <w:szCs w:val="28"/>
        </w:rPr>
        <w:t xml:space="preserve"> </w:t>
      </w:r>
      <w:r w:rsidR="00EE69BE">
        <w:rPr>
          <w:b/>
          <w:szCs w:val="28"/>
        </w:rPr>
        <w:t>3</w:t>
      </w:r>
      <w:r w:rsidR="00B23A2A">
        <w:rPr>
          <w:b/>
          <w:szCs w:val="28"/>
        </w:rPr>
        <w:t xml:space="preserve">, </w:t>
      </w:r>
      <w:r w:rsidR="00EE69BE">
        <w:rPr>
          <w:b/>
          <w:szCs w:val="28"/>
        </w:rPr>
        <w:t>7</w:t>
      </w:r>
      <w:r w:rsidR="00EB0BC4" w:rsidRPr="00D55B4F">
        <w:rPr>
          <w:b/>
          <w:szCs w:val="28"/>
        </w:rPr>
        <w:t xml:space="preserve"> розділу І </w:t>
      </w:r>
      <w:r w:rsidR="008F7224">
        <w:rPr>
          <w:szCs w:val="28"/>
        </w:rPr>
        <w:t>викласти в наступній редакції</w:t>
      </w:r>
      <w:r w:rsidR="00EB0BC4" w:rsidRPr="00D55B4F">
        <w:rPr>
          <w:szCs w:val="28"/>
        </w:rPr>
        <w:t>:</w:t>
      </w:r>
    </w:p>
    <w:p w:rsidR="00EB2216" w:rsidRPr="00EE69BE" w:rsidRDefault="00EB2216" w:rsidP="00EB0BC4">
      <w:pPr>
        <w:ind w:firstLine="540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EB0BC4" w:rsidRPr="00D55B4F" w:rsidTr="0078740E">
        <w:tc>
          <w:tcPr>
            <w:tcW w:w="567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№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</w:tcPr>
          <w:p w:rsidR="00EB0BC4" w:rsidRPr="00D55B4F" w:rsidRDefault="00EB0BC4" w:rsidP="0078740E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55B4F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Строк вико-нання заходу</w:t>
            </w:r>
          </w:p>
        </w:tc>
        <w:tc>
          <w:tcPr>
            <w:tcW w:w="216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Джерела фінансу-вання</w:t>
            </w:r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Орієнтовні обсяги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фінансування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(тис.грн.)</w:t>
            </w:r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Очікуваний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результат</w:t>
            </w:r>
          </w:p>
        </w:tc>
      </w:tr>
      <w:tr w:rsidR="00EB0BC4" w:rsidRPr="00D55B4F" w:rsidTr="0078740E">
        <w:trPr>
          <w:trHeight w:val="70"/>
        </w:trPr>
        <w:tc>
          <w:tcPr>
            <w:tcW w:w="567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7</w:t>
            </w:r>
          </w:p>
        </w:tc>
      </w:tr>
      <w:tr w:rsidR="00EB0BC4" w:rsidRPr="00D55B4F" w:rsidTr="0078740E">
        <w:tc>
          <w:tcPr>
            <w:tcW w:w="15120" w:type="dxa"/>
            <w:gridSpan w:val="7"/>
          </w:tcPr>
          <w:p w:rsidR="00EB0BC4" w:rsidRPr="005017F4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34411A" w:rsidRPr="000F2DB8" w:rsidTr="0078740E">
        <w:trPr>
          <w:trHeight w:val="338"/>
        </w:trPr>
        <w:tc>
          <w:tcPr>
            <w:tcW w:w="567" w:type="dxa"/>
          </w:tcPr>
          <w:p w:rsidR="0034411A" w:rsidRPr="00041F23" w:rsidRDefault="0034411A" w:rsidP="005C02B5">
            <w:pPr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3.</w:t>
            </w:r>
          </w:p>
        </w:tc>
        <w:tc>
          <w:tcPr>
            <w:tcW w:w="6153" w:type="dxa"/>
          </w:tcPr>
          <w:p w:rsidR="0034411A" w:rsidRPr="00041F23" w:rsidRDefault="0034411A" w:rsidP="005C02B5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Надання пільг (додатково до гарантованих державою пільг) з оплати житлово-комунальних послуг в межах соціальних норм споживання, передбачених чинним законодавством, та знижки вартості палива в тому числі рідкого в межах соціальних норм для осіб, які проживають у будинках, що не мають центрального опалення</w:t>
            </w:r>
            <w:r>
              <w:rPr>
                <w:sz w:val="24"/>
                <w:szCs w:val="24"/>
              </w:rPr>
              <w:t xml:space="preserve"> в розмірі</w:t>
            </w:r>
            <w:r w:rsidRPr="00041F23">
              <w:rPr>
                <w:sz w:val="24"/>
                <w:szCs w:val="24"/>
              </w:rPr>
              <w:t>:</w:t>
            </w:r>
          </w:p>
          <w:p w:rsidR="0034411A" w:rsidRPr="00041F23" w:rsidRDefault="0034411A" w:rsidP="00EE69BE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50%</w:t>
            </w:r>
            <w:r w:rsidRPr="00041F23">
              <w:rPr>
                <w:sz w:val="24"/>
                <w:szCs w:val="24"/>
              </w:rPr>
              <w:t xml:space="preserve"> сім’ям загиблих (померлих) при виконанні обов’язків під час проходження військової сл</w:t>
            </w:r>
            <w:r w:rsidR="00DA134F">
              <w:rPr>
                <w:sz w:val="24"/>
                <w:szCs w:val="24"/>
              </w:rPr>
              <w:t>ужби в східних регіонах України</w:t>
            </w:r>
            <w:r w:rsidR="00EE69BE" w:rsidRPr="00041F23">
              <w:rPr>
                <w:sz w:val="24"/>
                <w:szCs w:val="24"/>
              </w:rPr>
              <w:t>;</w:t>
            </w:r>
          </w:p>
        </w:tc>
        <w:tc>
          <w:tcPr>
            <w:tcW w:w="1200" w:type="dxa"/>
          </w:tcPr>
          <w:p w:rsidR="0034411A" w:rsidRPr="00041F23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2019 –</w:t>
            </w:r>
          </w:p>
          <w:p w:rsidR="0034411A" w:rsidRPr="00041F23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2021 р.р.</w:t>
            </w:r>
          </w:p>
        </w:tc>
        <w:tc>
          <w:tcPr>
            <w:tcW w:w="2160" w:type="dxa"/>
          </w:tcPr>
          <w:p w:rsidR="0034411A" w:rsidRPr="00041F23" w:rsidRDefault="0034411A" w:rsidP="005C02B5">
            <w:pPr>
              <w:jc w:val="center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Департамент праці</w:t>
            </w:r>
          </w:p>
          <w:p w:rsidR="0034411A" w:rsidRDefault="0034411A" w:rsidP="005C02B5">
            <w:pPr>
              <w:jc w:val="center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та соціального захисту населення міської ради</w:t>
            </w:r>
          </w:p>
          <w:p w:rsidR="0034411A" w:rsidRPr="00041F23" w:rsidRDefault="0034411A" w:rsidP="005C02B5">
            <w:pPr>
              <w:ind w:firstLine="405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4411A" w:rsidRPr="00041F23" w:rsidRDefault="0034411A" w:rsidP="005C02B5">
            <w:pPr>
              <w:jc w:val="center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Міський бюджет</w:t>
            </w:r>
          </w:p>
        </w:tc>
        <w:tc>
          <w:tcPr>
            <w:tcW w:w="1800" w:type="dxa"/>
          </w:tcPr>
          <w:p w:rsidR="0034411A" w:rsidRPr="00041F23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2019р.</w:t>
            </w:r>
            <w:r>
              <w:rPr>
                <w:bCs/>
                <w:sz w:val="24"/>
                <w:szCs w:val="24"/>
              </w:rPr>
              <w:t>–10350,0</w:t>
            </w:r>
          </w:p>
          <w:p w:rsidR="0034411A" w:rsidRPr="00041F23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2020р.</w:t>
            </w:r>
            <w:r>
              <w:rPr>
                <w:bCs/>
                <w:sz w:val="24"/>
                <w:szCs w:val="24"/>
              </w:rPr>
              <w:t>–10930,0</w:t>
            </w:r>
          </w:p>
          <w:p w:rsidR="0034411A" w:rsidRPr="00041F23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2021р.</w:t>
            </w:r>
            <w:r>
              <w:rPr>
                <w:bCs/>
                <w:sz w:val="24"/>
                <w:szCs w:val="24"/>
              </w:rPr>
              <w:t>–11477,0</w:t>
            </w:r>
          </w:p>
          <w:p w:rsidR="0034411A" w:rsidRPr="00041F23" w:rsidRDefault="0034411A" w:rsidP="005C02B5">
            <w:pPr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Всього:</w:t>
            </w:r>
            <w:r>
              <w:rPr>
                <w:bCs/>
                <w:sz w:val="24"/>
                <w:szCs w:val="24"/>
              </w:rPr>
              <w:t>32757,0</w:t>
            </w:r>
          </w:p>
        </w:tc>
        <w:tc>
          <w:tcPr>
            <w:tcW w:w="1800" w:type="dxa"/>
          </w:tcPr>
          <w:p w:rsidR="0034411A" w:rsidRPr="00EE69BE" w:rsidRDefault="0034411A" w:rsidP="00EE69BE">
            <w:pPr>
              <w:ind w:left="-108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 xml:space="preserve">Підтримка родин, члени яких загинули (померли) при виконанні обов’язків під час проходження військової служби в східних регіонах України </w:t>
            </w:r>
          </w:p>
        </w:tc>
      </w:tr>
    </w:tbl>
    <w:p w:rsidR="001006E8" w:rsidRDefault="001006E8" w:rsidP="00EE69BE">
      <w:pPr>
        <w:jc w:val="center"/>
        <w:rPr>
          <w:sz w:val="22"/>
          <w:szCs w:val="22"/>
        </w:rPr>
      </w:pPr>
    </w:p>
    <w:p w:rsidR="00EE69BE" w:rsidRPr="00EE69BE" w:rsidRDefault="00EE69BE" w:rsidP="00EE69BE">
      <w:pPr>
        <w:jc w:val="center"/>
        <w:rPr>
          <w:sz w:val="22"/>
          <w:szCs w:val="22"/>
        </w:rPr>
      </w:pPr>
      <w:r w:rsidRPr="00EE69BE">
        <w:rPr>
          <w:sz w:val="22"/>
          <w:szCs w:val="22"/>
        </w:rPr>
        <w:lastRenderedPageBreak/>
        <w:t>2</w:t>
      </w:r>
    </w:p>
    <w:p w:rsidR="00EE69BE" w:rsidRDefault="00EE69BE" w:rsidP="00EE69BE">
      <w:pPr>
        <w:jc w:val="right"/>
        <w:rPr>
          <w:sz w:val="22"/>
          <w:szCs w:val="22"/>
        </w:rPr>
      </w:pPr>
      <w:r w:rsidRPr="00EE69BE">
        <w:rPr>
          <w:sz w:val="22"/>
          <w:szCs w:val="22"/>
        </w:rPr>
        <w:t>Продовження додатка</w:t>
      </w:r>
    </w:p>
    <w:p w:rsidR="00EE69BE" w:rsidRPr="00EE69BE" w:rsidRDefault="00EE69BE" w:rsidP="00EE69BE">
      <w:pPr>
        <w:jc w:val="right"/>
        <w:rPr>
          <w:sz w:val="22"/>
          <w:szCs w:val="22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EE69BE" w:rsidRPr="000F2DB8" w:rsidTr="0078740E">
        <w:trPr>
          <w:trHeight w:val="338"/>
        </w:trPr>
        <w:tc>
          <w:tcPr>
            <w:tcW w:w="567" w:type="dxa"/>
          </w:tcPr>
          <w:p w:rsidR="00EE69BE" w:rsidRPr="00EE69BE" w:rsidRDefault="00EE69BE" w:rsidP="00EE69BE">
            <w:pPr>
              <w:jc w:val="center"/>
              <w:rPr>
                <w:b/>
                <w:sz w:val="24"/>
                <w:szCs w:val="24"/>
              </w:rPr>
            </w:pPr>
            <w:r w:rsidRPr="00EE69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EE69BE" w:rsidRPr="00EE69BE" w:rsidRDefault="00EE69BE" w:rsidP="00EE69BE">
            <w:pPr>
              <w:ind w:firstLine="405"/>
              <w:jc w:val="center"/>
              <w:rPr>
                <w:b/>
                <w:sz w:val="24"/>
                <w:szCs w:val="24"/>
              </w:rPr>
            </w:pPr>
            <w:r w:rsidRPr="00EE69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E69BE" w:rsidRPr="00EE69BE" w:rsidRDefault="00EE69BE" w:rsidP="00EE69BE">
            <w:pPr>
              <w:jc w:val="center"/>
              <w:rPr>
                <w:b/>
                <w:bCs/>
                <w:sz w:val="24"/>
                <w:szCs w:val="24"/>
              </w:rPr>
            </w:pPr>
            <w:r w:rsidRPr="00EE6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EE69BE" w:rsidRPr="00EE69BE" w:rsidRDefault="00EE69BE" w:rsidP="00EE69BE">
            <w:pPr>
              <w:jc w:val="center"/>
              <w:rPr>
                <w:b/>
                <w:bCs/>
                <w:sz w:val="24"/>
                <w:szCs w:val="24"/>
              </w:rPr>
            </w:pPr>
            <w:r w:rsidRPr="00EE69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EE69BE" w:rsidRPr="00EE69BE" w:rsidRDefault="00EE69BE" w:rsidP="00EE69BE">
            <w:pPr>
              <w:jc w:val="center"/>
              <w:rPr>
                <w:b/>
                <w:bCs/>
                <w:sz w:val="24"/>
                <w:szCs w:val="24"/>
              </w:rPr>
            </w:pPr>
            <w:r w:rsidRPr="00EE69B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EE69BE" w:rsidRPr="00EE69BE" w:rsidRDefault="00EE69BE" w:rsidP="00EE69BE">
            <w:pPr>
              <w:jc w:val="center"/>
              <w:rPr>
                <w:b/>
                <w:bCs/>
                <w:sz w:val="24"/>
                <w:szCs w:val="24"/>
              </w:rPr>
            </w:pPr>
            <w:r w:rsidRPr="00EE69B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EE69BE" w:rsidRPr="00EE69BE" w:rsidRDefault="00EE69BE" w:rsidP="00EE69BE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EE69BE">
              <w:rPr>
                <w:b/>
                <w:sz w:val="24"/>
                <w:szCs w:val="24"/>
              </w:rPr>
              <w:t>7</w:t>
            </w:r>
          </w:p>
        </w:tc>
      </w:tr>
      <w:tr w:rsidR="00B23A2A" w:rsidRPr="000F2DB8" w:rsidTr="0078740E">
        <w:trPr>
          <w:trHeight w:val="338"/>
        </w:trPr>
        <w:tc>
          <w:tcPr>
            <w:tcW w:w="567" w:type="dxa"/>
          </w:tcPr>
          <w:p w:rsidR="00B23A2A" w:rsidRPr="00041F23" w:rsidRDefault="00B23A2A" w:rsidP="005C02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53" w:type="dxa"/>
          </w:tcPr>
          <w:p w:rsidR="00B23A2A" w:rsidRPr="00041F23" w:rsidRDefault="00B23A2A" w:rsidP="00B23A2A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50% </w:t>
            </w:r>
            <w:r w:rsidRPr="00041F23">
              <w:rPr>
                <w:sz w:val="24"/>
                <w:szCs w:val="24"/>
              </w:rPr>
              <w:t>сім’ям загиблих під час організації надання допомоги учасникам військових дій в східних регіонах України;</w:t>
            </w:r>
          </w:p>
          <w:p w:rsidR="00B23A2A" w:rsidRPr="00041F23" w:rsidRDefault="00B23A2A" w:rsidP="00B23A2A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50% </w:t>
            </w:r>
            <w:r w:rsidRPr="00041F23">
              <w:rPr>
                <w:sz w:val="24"/>
                <w:szCs w:val="24"/>
              </w:rPr>
              <w:t xml:space="preserve">сім’ям померлих осіб, смерть яких пов’язана з участю у масових акціях громадського протесту, що відбулися у період з 21.11.2013 р.  по 21.02.2014 р. </w:t>
            </w:r>
          </w:p>
          <w:p w:rsidR="00B23A2A" w:rsidRPr="00041F23" w:rsidRDefault="00B23A2A" w:rsidP="00B23A2A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- 25% - учасникам бойових дій, постраждалим учасника Революції Гідності, визначених статтями 6, 16</w:t>
            </w:r>
            <w:r w:rsidRPr="00041F23">
              <w:rPr>
                <w:sz w:val="24"/>
                <w:szCs w:val="24"/>
                <w:vertAlign w:val="superscript"/>
              </w:rPr>
              <w:t>1</w:t>
            </w:r>
            <w:r w:rsidRPr="00041F23">
              <w:rPr>
                <w:sz w:val="24"/>
                <w:szCs w:val="24"/>
              </w:rPr>
              <w:t xml:space="preserve"> Закону України «Про статус ветеранів війни, гарантії їх соціального захисту»;</w:t>
            </w:r>
          </w:p>
          <w:p w:rsidR="00B23A2A" w:rsidRDefault="00B23A2A" w:rsidP="00B23A2A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- 100% - бійцям – добровольцям, які брали участь у захисті територіальної цілісності та державного суверенітету України визнаними рішеннями Чернівецької обласної ради (пільга надається з дня звернення).</w:t>
            </w:r>
          </w:p>
          <w:p w:rsidR="00B23A2A" w:rsidRPr="00041F23" w:rsidRDefault="00B23A2A" w:rsidP="00B23A2A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Пільги надаються зазначеним вище категоріям громадян та членам їх сімей, передбачених статтею 51 Бюджетного кодексу України, що проживають разом з ними, незалежно від виду житла чи форми власності на нього, які зареєстровані в м. Чернівцях</w:t>
            </w:r>
          </w:p>
        </w:tc>
        <w:tc>
          <w:tcPr>
            <w:tcW w:w="1200" w:type="dxa"/>
          </w:tcPr>
          <w:p w:rsidR="00B23A2A" w:rsidRPr="00041F23" w:rsidRDefault="00B23A2A" w:rsidP="005C02B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B23A2A" w:rsidRPr="00041F23" w:rsidRDefault="00B23A2A" w:rsidP="005C02B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B23A2A" w:rsidRPr="00041F23" w:rsidRDefault="00B23A2A" w:rsidP="005C02B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B23A2A" w:rsidRPr="00041F23" w:rsidRDefault="00B23A2A" w:rsidP="005C02B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B23A2A" w:rsidRPr="00041F23" w:rsidRDefault="00EE69BE" w:rsidP="00B23A2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 xml:space="preserve">або організації надання </w:t>
            </w:r>
            <w:r w:rsidR="00B23A2A" w:rsidRPr="00041F23">
              <w:rPr>
                <w:sz w:val="24"/>
                <w:szCs w:val="24"/>
              </w:rPr>
              <w:t xml:space="preserve">допомоги учасникам військових дій в східних регіонах України та смерть яких пов’язана з участю у масових акціях </w:t>
            </w:r>
          </w:p>
          <w:p w:rsidR="00B23A2A" w:rsidRPr="00041F23" w:rsidRDefault="00B23A2A" w:rsidP="00B23A2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громадського</w:t>
            </w:r>
          </w:p>
          <w:p w:rsidR="00B23A2A" w:rsidRPr="00041F23" w:rsidRDefault="00B23A2A" w:rsidP="00B23A2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 xml:space="preserve">протесту, що відбулися у період з 21.11.2013 р. по </w:t>
            </w:r>
          </w:p>
          <w:p w:rsidR="00B23A2A" w:rsidRPr="00041F23" w:rsidRDefault="00B23A2A" w:rsidP="00B23A2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21.02.2014 р.</w:t>
            </w:r>
          </w:p>
        </w:tc>
      </w:tr>
      <w:tr w:rsidR="00B23A2A" w:rsidRPr="000F2DB8" w:rsidTr="0078740E">
        <w:trPr>
          <w:trHeight w:val="338"/>
        </w:trPr>
        <w:tc>
          <w:tcPr>
            <w:tcW w:w="567" w:type="dxa"/>
          </w:tcPr>
          <w:p w:rsidR="00B23A2A" w:rsidRPr="002D0B97" w:rsidRDefault="00B23A2A" w:rsidP="005C02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Pr="002D0B9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153" w:type="dxa"/>
          </w:tcPr>
          <w:p w:rsidR="00B23A2A" w:rsidRPr="00EA798F" w:rsidRDefault="00B23A2A" w:rsidP="005C02B5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EA798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Надання щомісячної адресної матеріальної допомоги батькам діти, яких були призвані під час мобілізації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CB69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або прийняті на військову службу за контрактом</w:t>
            </w:r>
            <w:r w:rsidRPr="00EA798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відповідно до ЗУ «Про військовий обов’язок та військову службу», ЗУ «Про мобілізаційну підготовку та мобілізацію» та  померли під час проходження військової служби в східних регіонах України </w:t>
            </w:r>
            <w:r w:rsidRPr="00EA798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та не отримують інші щомісячні допомоги (виплати, доплати) за рахунок коштів міського бюджету.</w:t>
            </w:r>
          </w:p>
        </w:tc>
        <w:tc>
          <w:tcPr>
            <w:tcW w:w="1200" w:type="dxa"/>
          </w:tcPr>
          <w:p w:rsidR="00B23A2A" w:rsidRDefault="00B23A2A" w:rsidP="005C02B5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2019 –</w:t>
            </w:r>
          </w:p>
          <w:p w:rsidR="00B23A2A" w:rsidRDefault="00B23A2A" w:rsidP="005C02B5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2021 р.р.</w:t>
            </w:r>
          </w:p>
        </w:tc>
        <w:tc>
          <w:tcPr>
            <w:tcW w:w="2160" w:type="dxa"/>
          </w:tcPr>
          <w:p w:rsidR="00B23A2A" w:rsidRDefault="00B23A2A" w:rsidP="005C02B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B23A2A" w:rsidRDefault="00B23A2A" w:rsidP="005C02B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B23A2A" w:rsidRPr="002D0B97" w:rsidRDefault="00B23A2A" w:rsidP="005C02B5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9</w:t>
            </w:r>
            <w:r w:rsidRPr="002D0B97">
              <w:rPr>
                <w:bCs/>
                <w:sz w:val="24"/>
                <w:szCs w:val="24"/>
              </w:rPr>
              <w:t xml:space="preserve"> р. – </w:t>
            </w:r>
            <w:r>
              <w:rPr>
                <w:bCs/>
                <w:sz w:val="24"/>
                <w:szCs w:val="24"/>
              </w:rPr>
              <w:t>9</w:t>
            </w:r>
            <w:r w:rsidRPr="002D0B97">
              <w:rPr>
                <w:bCs/>
                <w:sz w:val="24"/>
                <w:szCs w:val="24"/>
              </w:rPr>
              <w:t>0,0</w:t>
            </w:r>
          </w:p>
          <w:p w:rsidR="00B23A2A" w:rsidRPr="002D0B97" w:rsidRDefault="00B23A2A" w:rsidP="005C02B5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20</w:t>
            </w:r>
            <w:r w:rsidRPr="002D0B97">
              <w:rPr>
                <w:bCs/>
                <w:sz w:val="24"/>
                <w:szCs w:val="24"/>
              </w:rPr>
              <w:t xml:space="preserve"> р. – </w:t>
            </w:r>
            <w:r>
              <w:rPr>
                <w:bCs/>
                <w:sz w:val="24"/>
                <w:szCs w:val="24"/>
              </w:rPr>
              <w:t>95,0</w:t>
            </w:r>
          </w:p>
          <w:p w:rsidR="00B23A2A" w:rsidRDefault="00B23A2A" w:rsidP="005C02B5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</w:t>
            </w:r>
            <w:r w:rsidRPr="002D0B97">
              <w:rPr>
                <w:bCs/>
                <w:sz w:val="24"/>
                <w:szCs w:val="24"/>
              </w:rPr>
              <w:t xml:space="preserve">1 р.– </w:t>
            </w:r>
            <w:r>
              <w:rPr>
                <w:bCs/>
                <w:sz w:val="24"/>
                <w:szCs w:val="24"/>
              </w:rPr>
              <w:t>100,0</w:t>
            </w:r>
          </w:p>
          <w:p w:rsidR="00B23A2A" w:rsidRPr="002D0B97" w:rsidRDefault="00B23A2A" w:rsidP="005C02B5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 xml:space="preserve">Всього: </w:t>
            </w:r>
            <w:r>
              <w:rPr>
                <w:bCs/>
                <w:sz w:val="24"/>
                <w:szCs w:val="24"/>
              </w:rPr>
              <w:t>285,0</w:t>
            </w:r>
          </w:p>
          <w:p w:rsidR="00B23A2A" w:rsidRDefault="00B23A2A" w:rsidP="005C02B5">
            <w:pPr>
              <w:rPr>
                <w:bCs/>
                <w:sz w:val="24"/>
              </w:rPr>
            </w:pPr>
          </w:p>
        </w:tc>
        <w:tc>
          <w:tcPr>
            <w:tcW w:w="1800" w:type="dxa"/>
          </w:tcPr>
          <w:p w:rsidR="00B23A2A" w:rsidRPr="00985D30" w:rsidRDefault="00B23A2A" w:rsidP="005C02B5">
            <w:pPr>
              <w:ind w:left="-108"/>
              <w:jc w:val="center"/>
              <w:rPr>
                <w:bCs/>
                <w:sz w:val="22"/>
                <w:szCs w:val="22"/>
              </w:rPr>
            </w:pPr>
            <w:r w:rsidRPr="00985D30">
              <w:rPr>
                <w:bCs/>
                <w:sz w:val="22"/>
                <w:szCs w:val="22"/>
              </w:rPr>
              <w:t xml:space="preserve">Підтримка родин члени, </w:t>
            </w:r>
            <w:r>
              <w:rPr>
                <w:bCs/>
                <w:sz w:val="22"/>
                <w:szCs w:val="22"/>
              </w:rPr>
              <w:t>яких померли при виконанні обов’язків під час проходження військової служби в східних регіонах України</w:t>
            </w:r>
          </w:p>
        </w:tc>
      </w:tr>
    </w:tbl>
    <w:p w:rsidR="00603FF3" w:rsidRDefault="00603FF3" w:rsidP="00756C7C">
      <w:pPr>
        <w:pStyle w:val="3"/>
      </w:pPr>
    </w:p>
    <w:p w:rsidR="005C02B5" w:rsidRPr="005C02B5" w:rsidRDefault="005C02B5" w:rsidP="005C02B5">
      <w:pPr>
        <w:rPr>
          <w:lang w:eastAsia="uk-UA"/>
        </w:rPr>
      </w:pPr>
    </w:p>
    <w:p w:rsidR="00756C7C" w:rsidRDefault="00756C7C" w:rsidP="00756C7C">
      <w:pPr>
        <w:pStyle w:val="3"/>
        <w:rPr>
          <w:lang w:val="ru-RU"/>
        </w:rPr>
      </w:pPr>
      <w:r>
        <w:t xml:space="preserve">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4E16C0" w:rsidRPr="00D55B4F" w:rsidRDefault="004E16C0"/>
    <w:sectPr w:rsidR="004E16C0" w:rsidRPr="00D55B4F" w:rsidSect="001006E8">
      <w:pgSz w:w="16838" w:h="11906" w:orient="landscape"/>
      <w:pgMar w:top="360" w:right="1134" w:bottom="4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158AD"/>
    <w:rsid w:val="00022839"/>
    <w:rsid w:val="00046C3A"/>
    <w:rsid w:val="00051894"/>
    <w:rsid w:val="000B216D"/>
    <w:rsid w:val="000E23D5"/>
    <w:rsid w:val="000E2FA9"/>
    <w:rsid w:val="000F2DB8"/>
    <w:rsid w:val="001006E8"/>
    <w:rsid w:val="001044DB"/>
    <w:rsid w:val="001178C0"/>
    <w:rsid w:val="001477DA"/>
    <w:rsid w:val="001B53B6"/>
    <w:rsid w:val="001C628B"/>
    <w:rsid w:val="001D70C8"/>
    <w:rsid w:val="00242DA4"/>
    <w:rsid w:val="00287F88"/>
    <w:rsid w:val="002B5A8A"/>
    <w:rsid w:val="002D0B97"/>
    <w:rsid w:val="0030109D"/>
    <w:rsid w:val="00304B61"/>
    <w:rsid w:val="0034365E"/>
    <w:rsid w:val="0034411A"/>
    <w:rsid w:val="00362671"/>
    <w:rsid w:val="003C6384"/>
    <w:rsid w:val="003C6542"/>
    <w:rsid w:val="003D13A0"/>
    <w:rsid w:val="003D19F2"/>
    <w:rsid w:val="003D74A3"/>
    <w:rsid w:val="0043493F"/>
    <w:rsid w:val="004349FE"/>
    <w:rsid w:val="00461FD2"/>
    <w:rsid w:val="00475C12"/>
    <w:rsid w:val="00493ADA"/>
    <w:rsid w:val="0049426F"/>
    <w:rsid w:val="004E16C0"/>
    <w:rsid w:val="004E584E"/>
    <w:rsid w:val="004F20F7"/>
    <w:rsid w:val="005017F4"/>
    <w:rsid w:val="00516A12"/>
    <w:rsid w:val="00550BA4"/>
    <w:rsid w:val="005561DB"/>
    <w:rsid w:val="005C02B5"/>
    <w:rsid w:val="00603FF3"/>
    <w:rsid w:val="00627324"/>
    <w:rsid w:val="00632D01"/>
    <w:rsid w:val="00643469"/>
    <w:rsid w:val="00694D7E"/>
    <w:rsid w:val="006C1ECA"/>
    <w:rsid w:val="006C580A"/>
    <w:rsid w:val="006D7212"/>
    <w:rsid w:val="006E0195"/>
    <w:rsid w:val="007238D0"/>
    <w:rsid w:val="00756C7C"/>
    <w:rsid w:val="00761AF2"/>
    <w:rsid w:val="0076561F"/>
    <w:rsid w:val="007670DF"/>
    <w:rsid w:val="0077238A"/>
    <w:rsid w:val="0078740E"/>
    <w:rsid w:val="00790763"/>
    <w:rsid w:val="007E2166"/>
    <w:rsid w:val="007F3BBA"/>
    <w:rsid w:val="007F7CCD"/>
    <w:rsid w:val="0085701E"/>
    <w:rsid w:val="008601B2"/>
    <w:rsid w:val="008A7A78"/>
    <w:rsid w:val="008D7299"/>
    <w:rsid w:val="008F7224"/>
    <w:rsid w:val="00950C8B"/>
    <w:rsid w:val="00951684"/>
    <w:rsid w:val="00974BC6"/>
    <w:rsid w:val="0098402B"/>
    <w:rsid w:val="00985D30"/>
    <w:rsid w:val="009D69AB"/>
    <w:rsid w:val="009F5884"/>
    <w:rsid w:val="00A205ED"/>
    <w:rsid w:val="00AC1612"/>
    <w:rsid w:val="00AE3C43"/>
    <w:rsid w:val="00B166C7"/>
    <w:rsid w:val="00B23A2A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73E53"/>
    <w:rsid w:val="00C87D2C"/>
    <w:rsid w:val="00CB69B1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769F1"/>
    <w:rsid w:val="00D8031F"/>
    <w:rsid w:val="00DA134F"/>
    <w:rsid w:val="00DC1B06"/>
    <w:rsid w:val="00DD3FA3"/>
    <w:rsid w:val="00DE7FCA"/>
    <w:rsid w:val="00E07499"/>
    <w:rsid w:val="00E31FCA"/>
    <w:rsid w:val="00EA798F"/>
    <w:rsid w:val="00EB0BC4"/>
    <w:rsid w:val="00EB2216"/>
    <w:rsid w:val="00EC497C"/>
    <w:rsid w:val="00EE69BE"/>
    <w:rsid w:val="00EE6DCE"/>
    <w:rsid w:val="00F14803"/>
    <w:rsid w:val="00F332EA"/>
    <w:rsid w:val="00F563B7"/>
    <w:rsid w:val="00F9069B"/>
    <w:rsid w:val="00F91C3D"/>
    <w:rsid w:val="00FC0CC2"/>
    <w:rsid w:val="00FC76BD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2A3B9B"/>
  <w15:chartTrackingRefBased/>
  <w15:docId w15:val="{5A6A11DB-F797-4DBA-BBE0-BDC7B50A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2019-02-25T07:59:00Z</cp:lastPrinted>
  <dcterms:created xsi:type="dcterms:W3CDTF">2019-02-25T15:19:00Z</dcterms:created>
  <dcterms:modified xsi:type="dcterms:W3CDTF">2019-02-25T15:19:00Z</dcterms:modified>
</cp:coreProperties>
</file>