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B45" w:rsidRDefault="00B43E01" w:rsidP="00FB1B45">
      <w:pPr>
        <w:autoSpaceDE w:val="0"/>
        <w:autoSpaceDN w:val="0"/>
        <w:adjustRightInd w:val="0"/>
        <w:ind w:hanging="140"/>
        <w:jc w:val="center"/>
      </w:pPr>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B1B45" w:rsidRPr="0001133A" w:rsidRDefault="00FB1B45" w:rsidP="00FB1B45">
      <w:pPr>
        <w:jc w:val="center"/>
        <w:rPr>
          <w:b/>
          <w:sz w:val="36"/>
          <w:szCs w:val="36"/>
        </w:rPr>
      </w:pPr>
      <w:r w:rsidRPr="0001133A">
        <w:rPr>
          <w:b/>
          <w:sz w:val="36"/>
          <w:szCs w:val="36"/>
        </w:rPr>
        <w:t>У К Р А Ї Н А</w:t>
      </w:r>
    </w:p>
    <w:p w:rsidR="00FB1B45" w:rsidRPr="0001133A" w:rsidRDefault="00FB1B45" w:rsidP="00FB1B45">
      <w:pPr>
        <w:jc w:val="center"/>
        <w:rPr>
          <w:b/>
          <w:sz w:val="36"/>
          <w:szCs w:val="36"/>
        </w:rPr>
      </w:pPr>
      <w:r w:rsidRPr="0001133A">
        <w:rPr>
          <w:b/>
          <w:sz w:val="36"/>
          <w:szCs w:val="36"/>
        </w:rPr>
        <w:t>Чернівецька  міська рада</w:t>
      </w:r>
    </w:p>
    <w:p w:rsidR="00FB1B45" w:rsidRPr="00ED461D" w:rsidRDefault="00AB4C31" w:rsidP="00FB1B45">
      <w:pPr>
        <w:jc w:val="center"/>
        <w:rPr>
          <w:b/>
          <w:sz w:val="32"/>
          <w:szCs w:val="32"/>
        </w:rPr>
      </w:pPr>
      <w:r>
        <w:rPr>
          <w:b/>
          <w:sz w:val="32"/>
          <w:szCs w:val="32"/>
        </w:rPr>
        <w:t>49</w:t>
      </w:r>
      <w:r w:rsidR="00FB1B45">
        <w:rPr>
          <w:b/>
          <w:sz w:val="32"/>
          <w:szCs w:val="32"/>
        </w:rPr>
        <w:t xml:space="preserve"> сесія  VІ</w:t>
      </w:r>
      <w:r w:rsidR="00DE3454">
        <w:rPr>
          <w:b/>
          <w:sz w:val="32"/>
          <w:szCs w:val="32"/>
        </w:rPr>
        <w:t>І</w:t>
      </w:r>
      <w:r w:rsidR="00FB1B45" w:rsidRPr="00ED461D">
        <w:rPr>
          <w:b/>
          <w:sz w:val="32"/>
          <w:szCs w:val="32"/>
        </w:rPr>
        <w:t xml:space="preserve"> скликання </w:t>
      </w:r>
    </w:p>
    <w:p w:rsidR="00FB1B45" w:rsidRPr="00C42E3F" w:rsidRDefault="00FB1B45" w:rsidP="00FB1B45">
      <w:pPr>
        <w:pStyle w:val="3"/>
        <w:spacing w:line="240" w:lineRule="auto"/>
        <w:jc w:val="center"/>
        <w:rPr>
          <w:sz w:val="32"/>
          <w:lang w:val="uk-UA"/>
        </w:rPr>
      </w:pPr>
      <w:proofErr w:type="gramStart"/>
      <w:r w:rsidRPr="00C42E3F">
        <w:rPr>
          <w:sz w:val="32"/>
        </w:rPr>
        <w:t>Р  І</w:t>
      </w:r>
      <w:proofErr w:type="gramEnd"/>
      <w:r w:rsidRPr="00C42E3F">
        <w:rPr>
          <w:sz w:val="32"/>
        </w:rPr>
        <w:t xml:space="preserve">  Ш  Е  Н  </w:t>
      </w:r>
      <w:proofErr w:type="spellStart"/>
      <w:r w:rsidRPr="00C42E3F">
        <w:rPr>
          <w:sz w:val="32"/>
        </w:rPr>
        <w:t>Н</w:t>
      </w:r>
      <w:proofErr w:type="spellEnd"/>
      <w:r w:rsidRPr="00C42E3F">
        <w:rPr>
          <w:sz w:val="32"/>
        </w:rPr>
        <w:t xml:space="preserve">  Я</w:t>
      </w:r>
    </w:p>
    <w:p w:rsidR="00FB1B45" w:rsidRPr="00E97167" w:rsidRDefault="00FB1B45" w:rsidP="00FB1B45"/>
    <w:p w:rsidR="00FB1B45" w:rsidRPr="00DE17B8" w:rsidRDefault="00DE3454" w:rsidP="00FB1B45">
      <w:pPr>
        <w:pStyle w:val="a4"/>
        <w:jc w:val="center"/>
        <w:rPr>
          <w:b/>
          <w:bCs/>
        </w:rPr>
      </w:pPr>
      <w:r w:rsidRPr="009D05E3">
        <w:rPr>
          <w:bCs/>
          <w:szCs w:val="28"/>
        </w:rPr>
        <w:t>____</w:t>
      </w:r>
      <w:r w:rsidR="00FB1B45" w:rsidRPr="009D05E3">
        <w:rPr>
          <w:bCs/>
          <w:szCs w:val="28"/>
        </w:rPr>
        <w:t>.0</w:t>
      </w:r>
      <w:r w:rsidRPr="009D05E3">
        <w:rPr>
          <w:bCs/>
          <w:szCs w:val="28"/>
        </w:rPr>
        <w:t>2</w:t>
      </w:r>
      <w:r w:rsidR="00FB1B45" w:rsidRPr="009D05E3">
        <w:rPr>
          <w:bCs/>
          <w:szCs w:val="28"/>
        </w:rPr>
        <w:t>.201</w:t>
      </w:r>
      <w:r w:rsidRPr="009D05E3">
        <w:rPr>
          <w:bCs/>
          <w:szCs w:val="28"/>
        </w:rPr>
        <w:t>8</w:t>
      </w:r>
      <w:r w:rsidR="00FB1B45" w:rsidRPr="009D05E3">
        <w:rPr>
          <w:bCs/>
          <w:szCs w:val="28"/>
        </w:rPr>
        <w:t xml:space="preserve"> №</w:t>
      </w:r>
      <w:r w:rsidR="00FB1B45" w:rsidRPr="009D05E3">
        <w:rPr>
          <w:szCs w:val="28"/>
        </w:rPr>
        <w:t xml:space="preserve">   </w:t>
      </w:r>
      <w:r w:rsidRPr="009D05E3">
        <w:rPr>
          <w:szCs w:val="28"/>
        </w:rPr>
        <w:t>_____</w:t>
      </w:r>
      <w:r w:rsidR="00FB1B45" w:rsidRPr="00306F0E">
        <w:rPr>
          <w:szCs w:val="28"/>
        </w:rPr>
        <w:t xml:space="preserve">    </w:t>
      </w:r>
      <w:r w:rsidR="00FB1B45" w:rsidRPr="00962280">
        <w:rPr>
          <w:szCs w:val="28"/>
        </w:rPr>
        <w:t xml:space="preserve">                                                        </w:t>
      </w:r>
      <w:r w:rsidR="00FB1B45" w:rsidRPr="00962280">
        <w:rPr>
          <w:sz w:val="27"/>
          <w:szCs w:val="27"/>
        </w:rPr>
        <w:t xml:space="preserve">            м. Чернівці</w:t>
      </w:r>
    </w:p>
    <w:p w:rsidR="00FB1B45" w:rsidRPr="00DE3454" w:rsidRDefault="00FB1B45" w:rsidP="00FB1B45">
      <w:pPr>
        <w:spacing w:line="228" w:lineRule="auto"/>
        <w:jc w:val="center"/>
        <w:rPr>
          <w:sz w:val="28"/>
        </w:rPr>
      </w:pPr>
    </w:p>
    <w:p w:rsidR="00FB1B45" w:rsidRPr="00DE3454" w:rsidRDefault="00FB1B45" w:rsidP="00FB1B45">
      <w:pPr>
        <w:spacing w:line="228" w:lineRule="auto"/>
        <w:jc w:val="center"/>
        <w:rPr>
          <w:sz w:val="28"/>
        </w:rPr>
      </w:pPr>
    </w:p>
    <w:p w:rsidR="00FB1B45" w:rsidRDefault="00FB1B45" w:rsidP="00473A7C">
      <w:pPr>
        <w:jc w:val="center"/>
        <w:rPr>
          <w:b/>
          <w:sz w:val="28"/>
          <w:szCs w:val="28"/>
        </w:rPr>
      </w:pPr>
      <w:r w:rsidRPr="00484110">
        <w:rPr>
          <w:b/>
          <w:sz w:val="28"/>
          <w:szCs w:val="28"/>
        </w:rPr>
        <w:t xml:space="preserve">Про </w:t>
      </w:r>
      <w:r w:rsidR="00DE3454">
        <w:rPr>
          <w:b/>
          <w:sz w:val="28"/>
          <w:szCs w:val="28"/>
        </w:rPr>
        <w:t xml:space="preserve">виконання </w:t>
      </w:r>
      <w:r w:rsidR="00473A7C">
        <w:rPr>
          <w:b/>
          <w:sz w:val="28"/>
          <w:szCs w:val="28"/>
        </w:rPr>
        <w:t>Комплексної п</w:t>
      </w:r>
      <w:r w:rsidRPr="00484110">
        <w:rPr>
          <w:b/>
          <w:sz w:val="28"/>
          <w:szCs w:val="28"/>
        </w:rPr>
        <w:t xml:space="preserve">рограми </w:t>
      </w:r>
      <w:r w:rsidR="00473A7C">
        <w:rPr>
          <w:b/>
          <w:sz w:val="28"/>
          <w:szCs w:val="28"/>
        </w:rPr>
        <w:t>забезпечення молоді житлом у місті Чернівцях на 2013 – 2017 роки, затвер</w:t>
      </w:r>
      <w:r w:rsidR="00DE3454">
        <w:rPr>
          <w:b/>
          <w:sz w:val="28"/>
          <w:szCs w:val="28"/>
        </w:rPr>
        <w:t xml:space="preserve">дженої </w:t>
      </w:r>
      <w:r w:rsidR="003B6C71">
        <w:rPr>
          <w:b/>
          <w:sz w:val="28"/>
          <w:szCs w:val="28"/>
        </w:rPr>
        <w:t>рішення</w:t>
      </w:r>
      <w:r w:rsidR="00DE3454">
        <w:rPr>
          <w:b/>
          <w:sz w:val="28"/>
          <w:szCs w:val="28"/>
        </w:rPr>
        <w:t>м</w:t>
      </w:r>
      <w:r w:rsidR="003B6C71">
        <w:rPr>
          <w:b/>
          <w:sz w:val="28"/>
          <w:szCs w:val="28"/>
        </w:rPr>
        <w:t xml:space="preserve"> </w:t>
      </w:r>
      <w:r w:rsidR="003B6C71" w:rsidRPr="00B83906">
        <w:rPr>
          <w:b/>
          <w:sz w:val="28"/>
          <w:szCs w:val="28"/>
        </w:rPr>
        <w:t>міської ради VІ скликання від 2</w:t>
      </w:r>
      <w:r w:rsidR="00473A7C">
        <w:rPr>
          <w:b/>
          <w:sz w:val="28"/>
          <w:szCs w:val="28"/>
        </w:rPr>
        <w:t>6</w:t>
      </w:r>
      <w:r w:rsidR="003B6C71" w:rsidRPr="00B83906">
        <w:rPr>
          <w:b/>
          <w:sz w:val="28"/>
          <w:szCs w:val="28"/>
        </w:rPr>
        <w:t>.0</w:t>
      </w:r>
      <w:r w:rsidR="00473A7C">
        <w:rPr>
          <w:b/>
          <w:sz w:val="28"/>
          <w:szCs w:val="28"/>
        </w:rPr>
        <w:t>9</w:t>
      </w:r>
      <w:r w:rsidR="003B6C71" w:rsidRPr="00B83906">
        <w:rPr>
          <w:b/>
          <w:sz w:val="28"/>
          <w:szCs w:val="28"/>
        </w:rPr>
        <w:t>.201</w:t>
      </w:r>
      <w:r w:rsidR="00DE3454">
        <w:rPr>
          <w:b/>
          <w:sz w:val="28"/>
          <w:szCs w:val="28"/>
        </w:rPr>
        <w:t>3</w:t>
      </w:r>
      <w:r w:rsidR="003B6C71" w:rsidRPr="00B83906">
        <w:rPr>
          <w:b/>
          <w:sz w:val="28"/>
          <w:szCs w:val="28"/>
        </w:rPr>
        <w:t xml:space="preserve"> р</w:t>
      </w:r>
      <w:r w:rsidR="000A30ED">
        <w:rPr>
          <w:b/>
          <w:sz w:val="28"/>
          <w:szCs w:val="28"/>
        </w:rPr>
        <w:t>.</w:t>
      </w:r>
      <w:r w:rsidR="003B6C71" w:rsidRPr="00B83906">
        <w:rPr>
          <w:b/>
          <w:sz w:val="28"/>
          <w:szCs w:val="28"/>
        </w:rPr>
        <w:t xml:space="preserve"> №</w:t>
      </w:r>
      <w:r w:rsidR="00473A7C">
        <w:rPr>
          <w:b/>
          <w:sz w:val="28"/>
          <w:szCs w:val="28"/>
        </w:rPr>
        <w:t>975</w:t>
      </w:r>
      <w:r w:rsidR="00DE3454">
        <w:rPr>
          <w:b/>
          <w:sz w:val="28"/>
          <w:szCs w:val="28"/>
        </w:rPr>
        <w:t xml:space="preserve"> </w:t>
      </w:r>
    </w:p>
    <w:p w:rsidR="00FB1B45" w:rsidRDefault="00FB1B45" w:rsidP="00FB1B45">
      <w:pPr>
        <w:spacing w:line="228" w:lineRule="auto"/>
        <w:jc w:val="center"/>
        <w:rPr>
          <w:b/>
          <w:sz w:val="28"/>
          <w:szCs w:val="28"/>
        </w:rPr>
      </w:pPr>
    </w:p>
    <w:p w:rsidR="008E7348" w:rsidRDefault="008E7348" w:rsidP="008E7348">
      <w:pPr>
        <w:spacing w:after="120"/>
        <w:ind w:firstLine="708"/>
        <w:jc w:val="both"/>
        <w:rPr>
          <w:sz w:val="28"/>
        </w:rPr>
      </w:pPr>
      <w:r>
        <w:rPr>
          <w:sz w:val="28"/>
        </w:rPr>
        <w:t>Відповідно до рішення</w:t>
      </w:r>
      <w:r w:rsidR="003F4836">
        <w:rPr>
          <w:bCs/>
          <w:sz w:val="28"/>
          <w:szCs w:val="28"/>
        </w:rPr>
        <w:t xml:space="preserve"> міської ради </w:t>
      </w:r>
      <w:r w:rsidRPr="00473A7C">
        <w:rPr>
          <w:sz w:val="28"/>
          <w:szCs w:val="28"/>
        </w:rPr>
        <w:t>VІ скликання від 26.09.2013 р. №</w:t>
      </w:r>
      <w:r w:rsidR="003F4836">
        <w:rPr>
          <w:sz w:val="28"/>
          <w:szCs w:val="28"/>
        </w:rPr>
        <w:t xml:space="preserve"> </w:t>
      </w:r>
      <w:r w:rsidRPr="00473A7C">
        <w:rPr>
          <w:sz w:val="28"/>
          <w:szCs w:val="28"/>
        </w:rPr>
        <w:t>975</w:t>
      </w:r>
      <w:r>
        <w:rPr>
          <w:sz w:val="28"/>
          <w:szCs w:val="28"/>
        </w:rPr>
        <w:t xml:space="preserve"> </w:t>
      </w:r>
      <w:r>
        <w:rPr>
          <w:sz w:val="28"/>
        </w:rPr>
        <w:t xml:space="preserve">“Про Комплексну програму </w:t>
      </w:r>
      <w:r w:rsidRPr="00473A7C">
        <w:rPr>
          <w:sz w:val="28"/>
          <w:szCs w:val="28"/>
        </w:rPr>
        <w:t xml:space="preserve">забезпечення молоді житлом у місті Чернівцях на 2013 – 2017 </w:t>
      </w:r>
      <w:r>
        <w:rPr>
          <w:sz w:val="28"/>
          <w:szCs w:val="28"/>
        </w:rPr>
        <w:t>роки</w:t>
      </w:r>
      <w:r w:rsidR="003F4836">
        <w:rPr>
          <w:sz w:val="28"/>
          <w:szCs w:val="28"/>
        </w:rPr>
        <w:t>»</w:t>
      </w:r>
      <w:r>
        <w:rPr>
          <w:sz w:val="28"/>
          <w:szCs w:val="28"/>
        </w:rPr>
        <w:t xml:space="preserve"> </w:t>
      </w:r>
      <w:r>
        <w:rPr>
          <w:sz w:val="28"/>
        </w:rPr>
        <w:t>виконавчими органами міської ради, Чернівецьким регіональним управлінням Державної спеціалізованої установи «Державний фонд сприяння молодіжному житловому будівництву» (далі Чернівецьке регіональне управління Фонду) проведено комплекс заходів, спрямованих на створення сприятливих умов розвитку молодіжного житлового будівництва та забезпечення молоді житлом у місті Чернівцях.</w:t>
      </w:r>
    </w:p>
    <w:p w:rsidR="00073B60" w:rsidRPr="000A4AAE" w:rsidRDefault="00073B60" w:rsidP="00073B60">
      <w:pPr>
        <w:ind w:firstLine="708"/>
        <w:jc w:val="both"/>
        <w:rPr>
          <w:sz w:val="28"/>
          <w:szCs w:val="28"/>
        </w:rPr>
      </w:pPr>
      <w:r w:rsidRPr="000A4AAE">
        <w:rPr>
          <w:sz w:val="28"/>
          <w:szCs w:val="28"/>
        </w:rPr>
        <w:t xml:space="preserve">За час </w:t>
      </w:r>
      <w:r w:rsidR="007D4F5B">
        <w:rPr>
          <w:sz w:val="28"/>
          <w:szCs w:val="28"/>
        </w:rPr>
        <w:t>реалізації програми</w:t>
      </w:r>
      <w:r w:rsidRPr="000A4AAE">
        <w:rPr>
          <w:sz w:val="28"/>
          <w:szCs w:val="28"/>
        </w:rPr>
        <w:t xml:space="preserve"> </w:t>
      </w:r>
      <w:r>
        <w:rPr>
          <w:sz w:val="28"/>
          <w:szCs w:val="28"/>
        </w:rPr>
        <w:t xml:space="preserve">освоєно 10,762 млн. грн. (27 кредитів). В тому числі з  </w:t>
      </w:r>
      <w:r w:rsidRPr="000A4AAE">
        <w:rPr>
          <w:sz w:val="28"/>
          <w:szCs w:val="28"/>
        </w:rPr>
        <w:t xml:space="preserve">обласного бюджету передбачалося виділення коштів для надання пільгових </w:t>
      </w:r>
      <w:r w:rsidRPr="00187313">
        <w:rPr>
          <w:sz w:val="28"/>
          <w:szCs w:val="28"/>
        </w:rPr>
        <w:t>довгострокових кредитів молодим сім’ям та одиноким молодим громадянам у розмірі 12 млн.</w:t>
      </w:r>
      <w:r>
        <w:rPr>
          <w:sz w:val="28"/>
          <w:szCs w:val="28"/>
        </w:rPr>
        <w:t xml:space="preserve"> </w:t>
      </w:r>
      <w:r w:rsidRPr="00187313">
        <w:rPr>
          <w:sz w:val="28"/>
          <w:szCs w:val="28"/>
        </w:rPr>
        <w:t xml:space="preserve">грн., фактично профінансовано </w:t>
      </w:r>
      <w:r>
        <w:rPr>
          <w:sz w:val="28"/>
          <w:szCs w:val="28"/>
        </w:rPr>
        <w:t>1,929</w:t>
      </w:r>
      <w:r w:rsidRPr="00187313">
        <w:rPr>
          <w:sz w:val="28"/>
          <w:szCs w:val="28"/>
        </w:rPr>
        <w:t xml:space="preserve"> млн.</w:t>
      </w:r>
      <w:r>
        <w:rPr>
          <w:sz w:val="28"/>
          <w:szCs w:val="28"/>
        </w:rPr>
        <w:t xml:space="preserve"> </w:t>
      </w:r>
      <w:r w:rsidRPr="00187313">
        <w:rPr>
          <w:sz w:val="28"/>
          <w:szCs w:val="28"/>
        </w:rPr>
        <w:t>грн.</w:t>
      </w:r>
      <w:r w:rsidRPr="000A4AAE">
        <w:rPr>
          <w:sz w:val="28"/>
          <w:szCs w:val="28"/>
        </w:rPr>
        <w:t xml:space="preserve"> </w:t>
      </w:r>
      <w:r>
        <w:rPr>
          <w:sz w:val="28"/>
          <w:szCs w:val="28"/>
        </w:rPr>
        <w:t xml:space="preserve">(5 кредитів). З Чернівецького міського бюджету – 5,640 </w:t>
      </w:r>
      <w:r w:rsidRPr="00187313">
        <w:rPr>
          <w:sz w:val="28"/>
          <w:szCs w:val="28"/>
        </w:rPr>
        <w:t>млн.</w:t>
      </w:r>
      <w:r>
        <w:rPr>
          <w:sz w:val="28"/>
          <w:szCs w:val="28"/>
        </w:rPr>
        <w:t xml:space="preserve"> </w:t>
      </w:r>
      <w:r w:rsidRPr="00187313">
        <w:rPr>
          <w:sz w:val="28"/>
          <w:szCs w:val="28"/>
        </w:rPr>
        <w:t>грн.</w:t>
      </w:r>
      <w:r w:rsidRPr="000A4AAE">
        <w:rPr>
          <w:sz w:val="28"/>
          <w:szCs w:val="28"/>
        </w:rPr>
        <w:t xml:space="preserve"> </w:t>
      </w:r>
      <w:r>
        <w:rPr>
          <w:sz w:val="28"/>
          <w:szCs w:val="28"/>
        </w:rPr>
        <w:t>(11 кредитів). Державний бюджет фінансував тіл</w:t>
      </w:r>
      <w:r w:rsidR="003F4836">
        <w:rPr>
          <w:sz w:val="28"/>
          <w:szCs w:val="28"/>
        </w:rPr>
        <w:t xml:space="preserve">ьки в 2013-14 роках на загальну </w:t>
      </w:r>
      <w:r>
        <w:rPr>
          <w:sz w:val="28"/>
          <w:szCs w:val="28"/>
        </w:rPr>
        <w:t>суму 3,193 млн. грн.</w:t>
      </w:r>
    </w:p>
    <w:p w:rsidR="00073B60" w:rsidRDefault="00073B60" w:rsidP="00073B60">
      <w:pPr>
        <w:ind w:firstLine="708"/>
        <w:jc w:val="both"/>
        <w:rPr>
          <w:sz w:val="28"/>
          <w:szCs w:val="28"/>
        </w:rPr>
      </w:pPr>
      <w:r w:rsidRPr="000A4AAE">
        <w:rPr>
          <w:sz w:val="28"/>
          <w:szCs w:val="28"/>
        </w:rPr>
        <w:t xml:space="preserve">Так, за період з 2013 по 2017 роки у </w:t>
      </w:r>
      <w:r>
        <w:rPr>
          <w:sz w:val="28"/>
          <w:szCs w:val="28"/>
        </w:rPr>
        <w:t>Чернівецькій</w:t>
      </w:r>
      <w:r w:rsidRPr="000A4AAE">
        <w:rPr>
          <w:sz w:val="28"/>
          <w:szCs w:val="28"/>
        </w:rPr>
        <w:t xml:space="preserve"> області за участі житлових програм введено в експлуатацію </w:t>
      </w:r>
      <w:r w:rsidRPr="00BF5CB3">
        <w:rPr>
          <w:sz w:val="28"/>
          <w:szCs w:val="28"/>
          <w:lang w:val="ru-RU"/>
        </w:rPr>
        <w:t xml:space="preserve">11 </w:t>
      </w:r>
      <w:r w:rsidRPr="00BF5CB3">
        <w:rPr>
          <w:sz w:val="28"/>
          <w:szCs w:val="28"/>
        </w:rPr>
        <w:t xml:space="preserve">житлових будинків. </w:t>
      </w:r>
    </w:p>
    <w:p w:rsidR="00073B60" w:rsidRDefault="00073B60" w:rsidP="00073B60">
      <w:pPr>
        <w:ind w:firstLine="708"/>
        <w:jc w:val="both"/>
        <w:rPr>
          <w:sz w:val="28"/>
          <w:szCs w:val="28"/>
        </w:rPr>
      </w:pPr>
      <w:r w:rsidRPr="000A4AAE">
        <w:rPr>
          <w:sz w:val="28"/>
          <w:szCs w:val="28"/>
        </w:rPr>
        <w:t xml:space="preserve">Загальна кількість квартир у введених будинках </w:t>
      </w:r>
      <w:r w:rsidRPr="00BF5CB3">
        <w:rPr>
          <w:sz w:val="28"/>
          <w:szCs w:val="28"/>
        </w:rPr>
        <w:t>– 611, з яких 87</w:t>
      </w:r>
      <w:r w:rsidRPr="000A4AAE">
        <w:rPr>
          <w:sz w:val="28"/>
          <w:szCs w:val="28"/>
        </w:rPr>
        <w:t xml:space="preserve"> отримали учасники державних житлових програм – позичальники </w:t>
      </w:r>
      <w:r>
        <w:rPr>
          <w:sz w:val="28"/>
          <w:szCs w:val="28"/>
        </w:rPr>
        <w:t>Чернівецького</w:t>
      </w:r>
      <w:r w:rsidRPr="000A4AAE">
        <w:rPr>
          <w:sz w:val="28"/>
          <w:szCs w:val="28"/>
        </w:rPr>
        <w:t xml:space="preserve"> регіонального управління </w:t>
      </w:r>
      <w:proofErr w:type="spellStart"/>
      <w:r w:rsidRPr="000A4AAE">
        <w:rPr>
          <w:sz w:val="28"/>
          <w:szCs w:val="28"/>
        </w:rPr>
        <w:t>Держмолодьжитла</w:t>
      </w:r>
      <w:proofErr w:type="spellEnd"/>
      <w:r w:rsidRPr="000A4AAE">
        <w:rPr>
          <w:sz w:val="28"/>
          <w:szCs w:val="28"/>
        </w:rPr>
        <w:t xml:space="preserve">, загальна площа квартир у будинках – </w:t>
      </w:r>
      <w:smartTag w:uri="urn:schemas-microsoft-com:office:smarttags" w:element="metricconverter">
        <w:smartTagPr>
          <w:attr w:name="ProductID" w:val="42892 кв. м"/>
        </w:smartTagPr>
        <w:r w:rsidRPr="00BF5CB3">
          <w:rPr>
            <w:sz w:val="28"/>
            <w:szCs w:val="28"/>
          </w:rPr>
          <w:t>42892 кв.</w:t>
        </w:r>
        <w:r>
          <w:rPr>
            <w:sz w:val="28"/>
            <w:szCs w:val="28"/>
          </w:rPr>
          <w:t xml:space="preserve"> </w:t>
        </w:r>
        <w:r w:rsidRPr="00BF5CB3">
          <w:rPr>
            <w:sz w:val="28"/>
            <w:szCs w:val="28"/>
          </w:rPr>
          <w:t>м</w:t>
        </w:r>
      </w:smartTag>
      <w:r w:rsidRPr="00BF5CB3">
        <w:rPr>
          <w:sz w:val="28"/>
          <w:szCs w:val="28"/>
        </w:rPr>
        <w:t xml:space="preserve">., з яких </w:t>
      </w:r>
      <w:smartTag w:uri="urn:schemas-microsoft-com:office:smarttags" w:element="metricconverter">
        <w:smartTagPr>
          <w:attr w:name="ProductID" w:val="5887 кв. м"/>
        </w:smartTagPr>
        <w:r w:rsidRPr="00BF5CB3">
          <w:rPr>
            <w:sz w:val="28"/>
            <w:szCs w:val="28"/>
          </w:rPr>
          <w:t>5887 кв.</w:t>
        </w:r>
        <w:r>
          <w:rPr>
            <w:sz w:val="28"/>
            <w:szCs w:val="28"/>
          </w:rPr>
          <w:t xml:space="preserve"> </w:t>
        </w:r>
        <w:r w:rsidRPr="00BF5CB3">
          <w:rPr>
            <w:sz w:val="28"/>
            <w:szCs w:val="28"/>
          </w:rPr>
          <w:t>м</w:t>
        </w:r>
      </w:smartTag>
      <w:r w:rsidRPr="00BF5CB3">
        <w:rPr>
          <w:sz w:val="28"/>
          <w:szCs w:val="28"/>
        </w:rPr>
        <w:t>.</w:t>
      </w:r>
      <w:r w:rsidRPr="000A4AAE">
        <w:rPr>
          <w:sz w:val="28"/>
          <w:szCs w:val="28"/>
        </w:rPr>
        <w:t xml:space="preserve"> отримали позичальники </w:t>
      </w:r>
      <w:proofErr w:type="spellStart"/>
      <w:r w:rsidRPr="000A4AAE">
        <w:rPr>
          <w:sz w:val="28"/>
          <w:szCs w:val="28"/>
        </w:rPr>
        <w:t>Держмолодьжитла</w:t>
      </w:r>
      <w:proofErr w:type="spellEnd"/>
      <w:r w:rsidRPr="000A4AAE">
        <w:rPr>
          <w:sz w:val="28"/>
          <w:szCs w:val="28"/>
        </w:rPr>
        <w:t>.</w:t>
      </w:r>
    </w:p>
    <w:p w:rsidR="00B23FDB" w:rsidRDefault="00B23FDB" w:rsidP="00B23FDB">
      <w:pPr>
        <w:ind w:firstLine="708"/>
        <w:jc w:val="both"/>
        <w:rPr>
          <w:sz w:val="28"/>
        </w:rPr>
      </w:pPr>
      <w:r>
        <w:rPr>
          <w:sz w:val="28"/>
        </w:rPr>
        <w:t>Разом з тим, у сфері молодіжного житлового будівництва та забезпечення молоді житлом є ряд невирішених питань.</w:t>
      </w:r>
    </w:p>
    <w:p w:rsidR="00B23FDB" w:rsidRPr="00F6674D" w:rsidRDefault="00B23FDB" w:rsidP="00B23FDB">
      <w:pPr>
        <w:ind w:firstLine="708"/>
        <w:jc w:val="both"/>
        <w:rPr>
          <w:sz w:val="28"/>
          <w:szCs w:val="28"/>
        </w:rPr>
      </w:pPr>
      <w:r w:rsidRPr="00F6674D">
        <w:rPr>
          <w:sz w:val="28"/>
          <w:szCs w:val="28"/>
        </w:rPr>
        <w:t>Чернівецьке регіональне управління Фонду не забезпечує існуючу у місті потребу у кредитах. Проблемою залишається розрив у обсягах коштів, що виділяються на реалізацію П</w:t>
      </w:r>
      <w:r>
        <w:rPr>
          <w:sz w:val="28"/>
          <w:szCs w:val="28"/>
        </w:rPr>
        <w:t>рограми та їх реальною потребою, низький</w:t>
      </w:r>
      <w:r w:rsidRPr="00F6674D">
        <w:rPr>
          <w:sz w:val="28"/>
          <w:szCs w:val="28"/>
        </w:rPr>
        <w:t xml:space="preserve"> </w:t>
      </w:r>
      <w:r w:rsidRPr="00F6674D">
        <w:rPr>
          <w:sz w:val="28"/>
          <w:szCs w:val="28"/>
        </w:rPr>
        <w:lastRenderedPageBreak/>
        <w:t>рів</w:t>
      </w:r>
      <w:r>
        <w:rPr>
          <w:sz w:val="28"/>
          <w:szCs w:val="28"/>
        </w:rPr>
        <w:t>е</w:t>
      </w:r>
      <w:r w:rsidRPr="00F6674D">
        <w:rPr>
          <w:sz w:val="28"/>
          <w:szCs w:val="28"/>
        </w:rPr>
        <w:t>н</w:t>
      </w:r>
      <w:r>
        <w:rPr>
          <w:sz w:val="28"/>
          <w:szCs w:val="28"/>
        </w:rPr>
        <w:t>ь</w:t>
      </w:r>
      <w:r w:rsidRPr="00F6674D">
        <w:rPr>
          <w:sz w:val="28"/>
          <w:szCs w:val="28"/>
        </w:rPr>
        <w:t xml:space="preserve"> економічної доступності житла для молоді,</w:t>
      </w:r>
      <w:r>
        <w:rPr>
          <w:sz w:val="28"/>
          <w:szCs w:val="28"/>
        </w:rPr>
        <w:t xml:space="preserve"> пільговий довготерміновий кредит покриває </w:t>
      </w:r>
      <w:r w:rsidR="00CD77EE">
        <w:rPr>
          <w:sz w:val="28"/>
          <w:szCs w:val="28"/>
        </w:rPr>
        <w:t xml:space="preserve">орієнтовно </w:t>
      </w:r>
      <w:r>
        <w:rPr>
          <w:sz w:val="28"/>
          <w:szCs w:val="28"/>
        </w:rPr>
        <w:t>дві третини фактичної вартості житла.</w:t>
      </w:r>
    </w:p>
    <w:p w:rsidR="008E7348" w:rsidRDefault="00B23FDB" w:rsidP="00CD77EE">
      <w:pPr>
        <w:ind w:firstLine="709"/>
        <w:jc w:val="both"/>
        <w:rPr>
          <w:sz w:val="28"/>
          <w:szCs w:val="28"/>
        </w:rPr>
      </w:pPr>
      <w:r>
        <w:rPr>
          <w:sz w:val="28"/>
        </w:rPr>
        <w:t xml:space="preserve">Враховуючи зазначене вище, </w:t>
      </w:r>
      <w:r w:rsidR="00CD77EE">
        <w:rPr>
          <w:sz w:val="28"/>
        </w:rPr>
        <w:t>в</w:t>
      </w:r>
      <w:r w:rsidR="008E7348">
        <w:rPr>
          <w:sz w:val="28"/>
          <w:szCs w:val="28"/>
        </w:rPr>
        <w:t>ідповідно до статті 26 Закону України «Про місцеве самоврядування в Україні», статті 10 Закону України «Про сприяння соціальному становленню та розвитку молоді в Україні», розпорядження Президента України від 06.10.1999 р. «Про сприяння розвитку молодіжного житлового будівництва», постанов Кабінету Міністрів України від 02.06.2000 р. №885 «По організацію житлового кредитування населення України» від 29.05.2001 р., №584 «Про порядок надання пільгових довготермінових кредитів молодим сім’ям та одиноким молодим громадянам на будівництво (реконструкцію) житла»  Чернівецька міська рада</w:t>
      </w:r>
    </w:p>
    <w:p w:rsidR="008E7348" w:rsidRDefault="008E7348" w:rsidP="002A317B">
      <w:pPr>
        <w:ind w:firstLine="709"/>
        <w:jc w:val="both"/>
        <w:rPr>
          <w:sz w:val="28"/>
          <w:szCs w:val="28"/>
        </w:rPr>
      </w:pPr>
    </w:p>
    <w:p w:rsidR="00FB1B45" w:rsidRDefault="00FB1B45" w:rsidP="00FB1B45">
      <w:pPr>
        <w:spacing w:line="264" w:lineRule="auto"/>
        <w:jc w:val="center"/>
        <w:rPr>
          <w:b/>
          <w:sz w:val="28"/>
        </w:rPr>
      </w:pPr>
      <w:r>
        <w:rPr>
          <w:b/>
          <w:sz w:val="28"/>
        </w:rPr>
        <w:t>В И Р І Ш И Л А:</w:t>
      </w:r>
    </w:p>
    <w:p w:rsidR="00FB1B45" w:rsidRDefault="00FB1B45" w:rsidP="00FB1B45">
      <w:pPr>
        <w:spacing w:line="264" w:lineRule="auto"/>
        <w:jc w:val="center"/>
        <w:rPr>
          <w:b/>
          <w:sz w:val="28"/>
        </w:rPr>
      </w:pPr>
    </w:p>
    <w:p w:rsidR="00390560" w:rsidRPr="00473A7C" w:rsidRDefault="004D1FB9" w:rsidP="007B22EB">
      <w:pPr>
        <w:spacing w:after="120"/>
        <w:ind w:firstLine="709"/>
        <w:jc w:val="both"/>
        <w:rPr>
          <w:sz w:val="28"/>
          <w:szCs w:val="28"/>
        </w:rPr>
      </w:pPr>
      <w:r>
        <w:rPr>
          <w:b/>
          <w:sz w:val="28"/>
          <w:szCs w:val="28"/>
        </w:rPr>
        <w:t>1</w:t>
      </w:r>
      <w:r w:rsidR="00FB1B45" w:rsidRPr="00421C8D">
        <w:rPr>
          <w:b/>
          <w:sz w:val="28"/>
          <w:szCs w:val="28"/>
        </w:rPr>
        <w:t>.</w:t>
      </w:r>
      <w:r w:rsidR="00FB1B45">
        <w:rPr>
          <w:sz w:val="28"/>
          <w:szCs w:val="28"/>
        </w:rPr>
        <w:t xml:space="preserve"> </w:t>
      </w:r>
      <w:r w:rsidR="00390560">
        <w:rPr>
          <w:sz w:val="28"/>
          <w:szCs w:val="28"/>
        </w:rPr>
        <w:t xml:space="preserve">Інформацію про </w:t>
      </w:r>
      <w:r w:rsidR="00390560" w:rsidRPr="00473A7C">
        <w:rPr>
          <w:sz w:val="28"/>
          <w:szCs w:val="28"/>
        </w:rPr>
        <w:t xml:space="preserve">виконання </w:t>
      </w:r>
      <w:r w:rsidR="00473A7C" w:rsidRPr="00473A7C">
        <w:rPr>
          <w:sz w:val="28"/>
          <w:szCs w:val="28"/>
        </w:rPr>
        <w:t xml:space="preserve">Комплексної програми забезпечення молоді житлом у місті Чернівцях на 2013 – 2017 роки, затвердженої рішенням міської ради VІ скликання від 26.09.2013 р. №975 </w:t>
      </w:r>
      <w:r w:rsidR="00390560" w:rsidRPr="00473A7C">
        <w:rPr>
          <w:sz w:val="28"/>
          <w:szCs w:val="28"/>
        </w:rPr>
        <w:t xml:space="preserve">взяти до </w:t>
      </w:r>
      <w:r w:rsidR="000A30ED" w:rsidRPr="00473A7C">
        <w:rPr>
          <w:sz w:val="28"/>
          <w:szCs w:val="28"/>
        </w:rPr>
        <w:t>відома (додається)</w:t>
      </w:r>
      <w:r w:rsidR="00390560" w:rsidRPr="00473A7C">
        <w:rPr>
          <w:sz w:val="28"/>
          <w:szCs w:val="28"/>
        </w:rPr>
        <w:t>.</w:t>
      </w:r>
    </w:p>
    <w:p w:rsidR="00473A7C" w:rsidRDefault="00390560" w:rsidP="00073B60">
      <w:pPr>
        <w:tabs>
          <w:tab w:val="left" w:pos="1080"/>
        </w:tabs>
        <w:spacing w:before="120"/>
        <w:ind w:firstLine="709"/>
        <w:jc w:val="both"/>
        <w:rPr>
          <w:sz w:val="28"/>
        </w:rPr>
      </w:pPr>
      <w:r>
        <w:rPr>
          <w:b/>
          <w:sz w:val="28"/>
          <w:szCs w:val="28"/>
        </w:rPr>
        <w:t xml:space="preserve">2. </w:t>
      </w:r>
      <w:r w:rsidR="00473A7C" w:rsidRPr="00473A7C">
        <w:rPr>
          <w:sz w:val="28"/>
          <w:szCs w:val="28"/>
        </w:rPr>
        <w:t>В</w:t>
      </w:r>
      <w:r w:rsidR="00473A7C" w:rsidRPr="00473A7C">
        <w:rPr>
          <w:sz w:val="28"/>
        </w:rPr>
        <w:t>ід</w:t>
      </w:r>
      <w:r w:rsidR="00473A7C">
        <w:rPr>
          <w:sz w:val="28"/>
        </w:rPr>
        <w:t>ділу у справах сім’ї та молоді міської ради, рекомендувати Чернівецькому регіональному управлінню Державної спеціалізованої фінансової установи «Державний фонд сприяння молодіжному житловому будівництву» продовжити інформаційну та роз’яснювальну роботу серед молоді міста щодо порядку отримання пільгових довгострокових кредитів на будівництво (реконструкцію) та придбання житла.</w:t>
      </w:r>
    </w:p>
    <w:p w:rsidR="008E7348" w:rsidRDefault="00073B60" w:rsidP="00073B60">
      <w:pPr>
        <w:spacing w:before="120"/>
        <w:ind w:firstLine="709"/>
        <w:jc w:val="both"/>
        <w:rPr>
          <w:sz w:val="28"/>
          <w:szCs w:val="28"/>
        </w:rPr>
      </w:pPr>
      <w:r>
        <w:rPr>
          <w:b/>
          <w:sz w:val="28"/>
          <w:szCs w:val="28"/>
        </w:rPr>
        <w:t>3</w:t>
      </w:r>
      <w:r w:rsidR="008E7348">
        <w:rPr>
          <w:b/>
          <w:sz w:val="28"/>
          <w:szCs w:val="28"/>
        </w:rPr>
        <w:t xml:space="preserve"> </w:t>
      </w:r>
      <w:r w:rsidR="008E7348" w:rsidRPr="0071301B">
        <w:rPr>
          <w:sz w:val="28"/>
          <w:szCs w:val="28"/>
        </w:rPr>
        <w:t>В</w:t>
      </w:r>
      <w:r w:rsidR="008E7348">
        <w:rPr>
          <w:sz w:val="28"/>
          <w:szCs w:val="28"/>
        </w:rPr>
        <w:t>изн</w:t>
      </w:r>
      <w:r w:rsidR="008E7348" w:rsidRPr="00400C11">
        <w:rPr>
          <w:sz w:val="28"/>
          <w:szCs w:val="28"/>
        </w:rPr>
        <w:t>ати таким, що втратило чинність</w:t>
      </w:r>
      <w:r w:rsidR="008E7348">
        <w:rPr>
          <w:sz w:val="28"/>
          <w:szCs w:val="28"/>
        </w:rPr>
        <w:t>,</w:t>
      </w:r>
      <w:r w:rsidR="008E7348" w:rsidRPr="00630AB2">
        <w:rPr>
          <w:sz w:val="28"/>
          <w:szCs w:val="28"/>
        </w:rPr>
        <w:t xml:space="preserve"> </w:t>
      </w:r>
      <w:r w:rsidR="008E7348">
        <w:rPr>
          <w:sz w:val="28"/>
          <w:szCs w:val="28"/>
        </w:rPr>
        <w:t xml:space="preserve">рішення </w:t>
      </w:r>
      <w:r w:rsidR="008E7348" w:rsidRPr="001935EA">
        <w:rPr>
          <w:sz w:val="28"/>
          <w:szCs w:val="28"/>
        </w:rPr>
        <w:t xml:space="preserve">міської ради </w:t>
      </w:r>
      <w:r w:rsidR="008E7348">
        <w:rPr>
          <w:sz w:val="28"/>
          <w:szCs w:val="28"/>
        </w:rPr>
        <w:t xml:space="preserve">               </w:t>
      </w:r>
      <w:r w:rsidR="008E7348" w:rsidRPr="001935EA">
        <w:rPr>
          <w:sz w:val="28"/>
          <w:szCs w:val="28"/>
          <w:lang w:val="en-US"/>
        </w:rPr>
        <w:t>V</w:t>
      </w:r>
      <w:r w:rsidR="008E7348">
        <w:rPr>
          <w:sz w:val="28"/>
          <w:szCs w:val="28"/>
          <w:lang w:val="en-US"/>
        </w:rPr>
        <w:t>I</w:t>
      </w:r>
      <w:r w:rsidR="008E7348" w:rsidRPr="001935EA">
        <w:rPr>
          <w:sz w:val="28"/>
          <w:szCs w:val="28"/>
        </w:rPr>
        <w:t xml:space="preserve"> скликання</w:t>
      </w:r>
      <w:r w:rsidR="008E7348">
        <w:rPr>
          <w:sz w:val="28"/>
          <w:szCs w:val="28"/>
        </w:rPr>
        <w:t xml:space="preserve"> </w:t>
      </w:r>
      <w:r w:rsidR="008E7348" w:rsidRPr="004C7841">
        <w:rPr>
          <w:sz w:val="28"/>
          <w:szCs w:val="28"/>
        </w:rPr>
        <w:t xml:space="preserve">від </w:t>
      </w:r>
      <w:r w:rsidR="008E7348" w:rsidRPr="00484110">
        <w:rPr>
          <w:sz w:val="28"/>
        </w:rPr>
        <w:t>2</w:t>
      </w:r>
      <w:r w:rsidR="008E7348">
        <w:rPr>
          <w:sz w:val="28"/>
        </w:rPr>
        <w:t>6.09.2013 р. №975</w:t>
      </w:r>
      <w:r w:rsidR="008E7348" w:rsidRPr="00345FB9">
        <w:rPr>
          <w:sz w:val="28"/>
          <w:szCs w:val="28"/>
        </w:rPr>
        <w:t xml:space="preserve"> “</w:t>
      </w:r>
      <w:r w:rsidR="008E7348" w:rsidRPr="00115C89">
        <w:rPr>
          <w:sz w:val="28"/>
          <w:szCs w:val="28"/>
        </w:rPr>
        <w:t xml:space="preserve">Про затвердження </w:t>
      </w:r>
      <w:r w:rsidR="008E7348" w:rsidRPr="00473A7C">
        <w:rPr>
          <w:sz w:val="28"/>
          <w:szCs w:val="28"/>
        </w:rPr>
        <w:t>Комплексної програми забезпечення молоді житлом у місті Чернівцях на 2013 – 2017 роки</w:t>
      </w:r>
      <w:r w:rsidR="008E7348" w:rsidRPr="00115C89">
        <w:rPr>
          <w:sz w:val="28"/>
          <w:szCs w:val="28"/>
        </w:rPr>
        <w:t xml:space="preserve"> </w:t>
      </w:r>
      <w:r w:rsidR="008E7348">
        <w:rPr>
          <w:sz w:val="28"/>
          <w:szCs w:val="28"/>
        </w:rPr>
        <w:t>Програми».</w:t>
      </w:r>
    </w:p>
    <w:p w:rsidR="00473A7C" w:rsidRPr="006722DD" w:rsidRDefault="008E7348" w:rsidP="00073B60">
      <w:pPr>
        <w:tabs>
          <w:tab w:val="left" w:pos="1080"/>
        </w:tabs>
        <w:spacing w:before="120"/>
        <w:ind w:firstLine="709"/>
        <w:jc w:val="both"/>
        <w:rPr>
          <w:sz w:val="28"/>
        </w:rPr>
      </w:pPr>
      <w:r>
        <w:rPr>
          <w:b/>
          <w:sz w:val="28"/>
        </w:rPr>
        <w:t xml:space="preserve">4. </w:t>
      </w:r>
      <w:r w:rsidR="00473A7C" w:rsidRPr="006722DD">
        <w:rPr>
          <w:sz w:val="28"/>
        </w:rPr>
        <w:t xml:space="preserve">Рішення набуває чинності з дня його прийняття та підлягає розміщенню на офіційному  веб-порталі міської ради </w:t>
      </w:r>
      <w:r w:rsidR="00473A7C">
        <w:rPr>
          <w:sz w:val="28"/>
        </w:rPr>
        <w:t>в мережі Інтернет.</w:t>
      </w:r>
    </w:p>
    <w:p w:rsidR="00D95248" w:rsidRPr="00115C89" w:rsidRDefault="008E7348" w:rsidP="00073B60">
      <w:pPr>
        <w:spacing w:before="120" w:line="288" w:lineRule="auto"/>
        <w:ind w:firstLine="709"/>
        <w:jc w:val="both"/>
        <w:rPr>
          <w:sz w:val="28"/>
          <w:szCs w:val="28"/>
        </w:rPr>
      </w:pPr>
      <w:r w:rsidRPr="00073B60">
        <w:rPr>
          <w:b/>
          <w:sz w:val="28"/>
          <w:szCs w:val="28"/>
        </w:rPr>
        <w:t>5</w:t>
      </w:r>
      <w:r w:rsidR="00D95248" w:rsidRPr="00073B60">
        <w:rPr>
          <w:b/>
          <w:sz w:val="28"/>
          <w:szCs w:val="28"/>
        </w:rPr>
        <w:t>.</w:t>
      </w:r>
      <w:r w:rsidR="00D95248" w:rsidRPr="00115C89">
        <w:rPr>
          <w:sz w:val="28"/>
          <w:szCs w:val="28"/>
        </w:rPr>
        <w:t xml:space="preserve"> Рішення підлягає оприлюдненню на офіційному веб-порталі  Чернівецької міської ради</w:t>
      </w:r>
      <w:r w:rsidR="00EF5604">
        <w:rPr>
          <w:sz w:val="28"/>
          <w:szCs w:val="28"/>
        </w:rPr>
        <w:t>.</w:t>
      </w:r>
    </w:p>
    <w:p w:rsidR="008E7348" w:rsidRDefault="00073B60" w:rsidP="00073B60">
      <w:pPr>
        <w:spacing w:before="120"/>
        <w:ind w:firstLine="708"/>
        <w:jc w:val="both"/>
        <w:rPr>
          <w:sz w:val="28"/>
          <w:szCs w:val="28"/>
        </w:rPr>
      </w:pPr>
      <w:r>
        <w:rPr>
          <w:b/>
          <w:sz w:val="28"/>
          <w:szCs w:val="28"/>
        </w:rPr>
        <w:t>6</w:t>
      </w:r>
      <w:r w:rsidR="008E7348" w:rsidRPr="00CD1818">
        <w:rPr>
          <w:b/>
          <w:sz w:val="28"/>
          <w:szCs w:val="28"/>
        </w:rPr>
        <w:t>.</w:t>
      </w:r>
      <w:r w:rsidR="008E7348">
        <w:rPr>
          <w:sz w:val="28"/>
          <w:szCs w:val="28"/>
        </w:rPr>
        <w:t xml:space="preserve"> Організацію виконання цього рішення покласти на заступника міського голови з питань діяльності виконавчих органів міської ради                    </w:t>
      </w:r>
      <w:proofErr w:type="spellStart"/>
      <w:r w:rsidR="008E7348">
        <w:rPr>
          <w:sz w:val="28"/>
          <w:szCs w:val="28"/>
        </w:rPr>
        <w:t>Середюка</w:t>
      </w:r>
      <w:proofErr w:type="spellEnd"/>
      <w:r w:rsidR="008E7348">
        <w:rPr>
          <w:sz w:val="28"/>
          <w:szCs w:val="28"/>
        </w:rPr>
        <w:t xml:space="preserve"> В.Б.</w:t>
      </w:r>
    </w:p>
    <w:p w:rsidR="008E7348" w:rsidRDefault="008E7348" w:rsidP="00073B60">
      <w:pPr>
        <w:spacing w:before="120"/>
        <w:jc w:val="both"/>
        <w:rPr>
          <w:sz w:val="28"/>
          <w:szCs w:val="28"/>
        </w:rPr>
      </w:pPr>
      <w:r>
        <w:rPr>
          <w:sz w:val="28"/>
          <w:szCs w:val="28"/>
        </w:rPr>
        <w:tab/>
      </w:r>
      <w:r w:rsidR="00073B60">
        <w:rPr>
          <w:sz w:val="28"/>
          <w:szCs w:val="28"/>
        </w:rPr>
        <w:t>7</w:t>
      </w:r>
      <w:r w:rsidRPr="00CD1818">
        <w:rPr>
          <w:b/>
          <w:sz w:val="28"/>
          <w:szCs w:val="28"/>
        </w:rPr>
        <w:t>.</w:t>
      </w:r>
      <w:r>
        <w:rPr>
          <w:sz w:val="28"/>
          <w:szCs w:val="28"/>
        </w:rPr>
        <w:t xml:space="preserve"> Контроль за виконанням рішення покласти на постійні комісії міської ради з питань гуманітарної політики, з питань бюджету та фінансів.</w:t>
      </w:r>
    </w:p>
    <w:p w:rsidR="00AB4C31" w:rsidRDefault="00AB4C31" w:rsidP="009D05E3">
      <w:pPr>
        <w:tabs>
          <w:tab w:val="left" w:pos="0"/>
        </w:tabs>
        <w:spacing w:line="264" w:lineRule="auto"/>
        <w:rPr>
          <w:b/>
          <w:sz w:val="28"/>
          <w:szCs w:val="28"/>
        </w:rPr>
      </w:pPr>
    </w:p>
    <w:p w:rsidR="00943A2B" w:rsidRDefault="00D95248" w:rsidP="009D05E3">
      <w:pPr>
        <w:tabs>
          <w:tab w:val="left" w:pos="0"/>
        </w:tabs>
        <w:spacing w:line="264" w:lineRule="auto"/>
        <w:rPr>
          <w:b/>
          <w:sz w:val="28"/>
          <w:szCs w:val="28"/>
        </w:rPr>
      </w:pPr>
      <w:r w:rsidRPr="009D05E3">
        <w:rPr>
          <w:b/>
          <w:sz w:val="28"/>
          <w:szCs w:val="28"/>
        </w:rPr>
        <w:t>Чернівецьк</w:t>
      </w:r>
      <w:r w:rsidR="00DE3454" w:rsidRPr="009D05E3">
        <w:rPr>
          <w:b/>
          <w:sz w:val="28"/>
          <w:szCs w:val="28"/>
        </w:rPr>
        <w:t>ий</w:t>
      </w:r>
      <w:r w:rsidRPr="009D05E3">
        <w:rPr>
          <w:b/>
          <w:sz w:val="28"/>
          <w:szCs w:val="28"/>
        </w:rPr>
        <w:t xml:space="preserve"> міськ</w:t>
      </w:r>
      <w:r w:rsidR="00DE3454" w:rsidRPr="009D05E3">
        <w:rPr>
          <w:b/>
          <w:sz w:val="28"/>
          <w:szCs w:val="28"/>
        </w:rPr>
        <w:t>ий голова</w:t>
      </w:r>
      <w:r w:rsidRPr="009D05E3">
        <w:rPr>
          <w:b/>
          <w:sz w:val="28"/>
          <w:szCs w:val="28"/>
        </w:rPr>
        <w:tab/>
      </w:r>
      <w:r w:rsidRPr="009D05E3">
        <w:rPr>
          <w:b/>
          <w:sz w:val="28"/>
          <w:szCs w:val="28"/>
        </w:rPr>
        <w:tab/>
      </w:r>
      <w:r w:rsidRPr="009D05E3">
        <w:rPr>
          <w:b/>
          <w:sz w:val="28"/>
          <w:szCs w:val="28"/>
        </w:rPr>
        <w:tab/>
        <w:t xml:space="preserve">     </w:t>
      </w:r>
      <w:r w:rsidRPr="009D05E3">
        <w:rPr>
          <w:b/>
          <w:sz w:val="28"/>
          <w:szCs w:val="28"/>
        </w:rPr>
        <w:tab/>
      </w:r>
      <w:r w:rsidR="00DE3454" w:rsidRPr="009D05E3">
        <w:rPr>
          <w:b/>
          <w:sz w:val="28"/>
          <w:szCs w:val="28"/>
        </w:rPr>
        <w:t xml:space="preserve">                     О.Каспрук</w:t>
      </w:r>
      <w:r w:rsidRPr="009D05E3">
        <w:rPr>
          <w:b/>
          <w:sz w:val="28"/>
          <w:szCs w:val="28"/>
        </w:rPr>
        <w:t xml:space="preserve"> </w:t>
      </w:r>
    </w:p>
    <w:p w:rsidR="00943A2B" w:rsidRDefault="00943A2B">
      <w:pPr>
        <w:rPr>
          <w:b/>
          <w:sz w:val="28"/>
          <w:szCs w:val="28"/>
        </w:rPr>
      </w:pPr>
      <w:r>
        <w:rPr>
          <w:b/>
          <w:sz w:val="28"/>
          <w:szCs w:val="28"/>
        </w:rPr>
        <w:br w:type="page"/>
      </w:r>
    </w:p>
    <w:p w:rsidR="00943A2B" w:rsidRDefault="00943A2B" w:rsidP="00943A2B">
      <w:pPr>
        <w:ind w:firstLine="708"/>
        <w:jc w:val="both"/>
        <w:rPr>
          <w:b/>
          <w:sz w:val="28"/>
          <w:szCs w:val="28"/>
        </w:rPr>
      </w:pPr>
    </w:p>
    <w:p w:rsidR="00943A2B" w:rsidRDefault="00943A2B" w:rsidP="00943A2B">
      <w:pPr>
        <w:ind w:firstLine="708"/>
        <w:jc w:val="center"/>
        <w:rPr>
          <w:b/>
          <w:sz w:val="28"/>
          <w:szCs w:val="28"/>
        </w:rPr>
      </w:pPr>
      <w:r>
        <w:rPr>
          <w:b/>
          <w:sz w:val="28"/>
          <w:szCs w:val="28"/>
        </w:rPr>
        <w:t>ІНФОРМАЦІЯ</w:t>
      </w:r>
    </w:p>
    <w:p w:rsidR="00943A2B" w:rsidRDefault="00943A2B" w:rsidP="00943A2B">
      <w:pPr>
        <w:ind w:firstLine="708"/>
        <w:jc w:val="center"/>
        <w:rPr>
          <w:bCs/>
          <w:sz w:val="28"/>
        </w:rPr>
      </w:pPr>
      <w:r>
        <w:rPr>
          <w:b/>
          <w:sz w:val="28"/>
          <w:szCs w:val="28"/>
        </w:rPr>
        <w:t>п</w:t>
      </w:r>
      <w:r w:rsidRPr="00484110">
        <w:rPr>
          <w:b/>
          <w:sz w:val="28"/>
          <w:szCs w:val="28"/>
        </w:rPr>
        <w:t xml:space="preserve">ро </w:t>
      </w:r>
      <w:r>
        <w:rPr>
          <w:b/>
          <w:sz w:val="28"/>
          <w:szCs w:val="28"/>
        </w:rPr>
        <w:t>виконання Комплексної п</w:t>
      </w:r>
      <w:r w:rsidRPr="00484110">
        <w:rPr>
          <w:b/>
          <w:sz w:val="28"/>
          <w:szCs w:val="28"/>
        </w:rPr>
        <w:t xml:space="preserve">рограми </w:t>
      </w:r>
      <w:r>
        <w:rPr>
          <w:b/>
          <w:sz w:val="28"/>
          <w:szCs w:val="28"/>
        </w:rPr>
        <w:t xml:space="preserve">забезпечення молоді житлом у місті Чернівцях на 2013 – 2017 роки, затвердженої рішенням </w:t>
      </w:r>
      <w:r w:rsidRPr="00B83906">
        <w:rPr>
          <w:b/>
          <w:sz w:val="28"/>
          <w:szCs w:val="28"/>
        </w:rPr>
        <w:t>міської ради VІ скликання від 2</w:t>
      </w:r>
      <w:r>
        <w:rPr>
          <w:b/>
          <w:sz w:val="28"/>
          <w:szCs w:val="28"/>
        </w:rPr>
        <w:t>6</w:t>
      </w:r>
      <w:r w:rsidRPr="00B83906">
        <w:rPr>
          <w:b/>
          <w:sz w:val="28"/>
          <w:szCs w:val="28"/>
        </w:rPr>
        <w:t>.0</w:t>
      </w:r>
      <w:r>
        <w:rPr>
          <w:b/>
          <w:sz w:val="28"/>
          <w:szCs w:val="28"/>
        </w:rPr>
        <w:t>9</w:t>
      </w:r>
      <w:r w:rsidRPr="00B83906">
        <w:rPr>
          <w:b/>
          <w:sz w:val="28"/>
          <w:szCs w:val="28"/>
        </w:rPr>
        <w:t>.201</w:t>
      </w:r>
      <w:r>
        <w:rPr>
          <w:b/>
          <w:sz w:val="28"/>
          <w:szCs w:val="28"/>
        </w:rPr>
        <w:t>3</w:t>
      </w:r>
      <w:r w:rsidRPr="00B83906">
        <w:rPr>
          <w:b/>
          <w:sz w:val="28"/>
          <w:szCs w:val="28"/>
        </w:rPr>
        <w:t xml:space="preserve"> р</w:t>
      </w:r>
      <w:r>
        <w:rPr>
          <w:b/>
          <w:sz w:val="28"/>
          <w:szCs w:val="28"/>
        </w:rPr>
        <w:t>.</w:t>
      </w:r>
      <w:r w:rsidRPr="00B83906">
        <w:rPr>
          <w:b/>
          <w:sz w:val="28"/>
          <w:szCs w:val="28"/>
        </w:rPr>
        <w:t xml:space="preserve"> №</w:t>
      </w:r>
      <w:r>
        <w:rPr>
          <w:b/>
          <w:sz w:val="28"/>
          <w:szCs w:val="28"/>
        </w:rPr>
        <w:t>975</w:t>
      </w:r>
    </w:p>
    <w:p w:rsidR="00943A2B" w:rsidRDefault="00943A2B" w:rsidP="00943A2B">
      <w:pPr>
        <w:ind w:firstLine="708"/>
        <w:jc w:val="both"/>
        <w:rPr>
          <w:bCs/>
          <w:sz w:val="28"/>
        </w:rPr>
      </w:pPr>
    </w:p>
    <w:p w:rsidR="00943A2B" w:rsidRPr="00B82063" w:rsidRDefault="00943A2B" w:rsidP="00943A2B">
      <w:pPr>
        <w:ind w:firstLine="708"/>
        <w:jc w:val="both"/>
        <w:rPr>
          <w:sz w:val="28"/>
          <w:szCs w:val="28"/>
        </w:rPr>
      </w:pPr>
      <w:r w:rsidRPr="00B82063">
        <w:rPr>
          <w:bCs/>
          <w:sz w:val="28"/>
          <w:szCs w:val="28"/>
        </w:rPr>
        <w:t>Програма забезпечення молоді житлом у місті Чернівцях на 2013 - 2017 роки (далі – Програма) передбачає консолідацію усіх бюджетних коштів, підвищення інвестиційної привабливості житлової сфери та створення належних умов для забезпечення молодих сімей та одиноких молодих громадян житлом.</w:t>
      </w:r>
    </w:p>
    <w:p w:rsidR="00943A2B" w:rsidRPr="00B82063" w:rsidRDefault="00943A2B" w:rsidP="00943A2B">
      <w:pPr>
        <w:pStyle w:val="21"/>
        <w:shd w:val="clear" w:color="auto" w:fill="auto"/>
        <w:spacing w:before="0" w:after="0" w:line="240" w:lineRule="auto"/>
        <w:ind w:firstLine="720"/>
        <w:jc w:val="left"/>
        <w:rPr>
          <w:spacing w:val="0"/>
          <w:sz w:val="28"/>
          <w:szCs w:val="28"/>
          <w:lang w:val="uk-UA"/>
        </w:rPr>
      </w:pPr>
      <w:r w:rsidRPr="00B82063">
        <w:rPr>
          <w:rStyle w:val="10"/>
          <w:spacing w:val="0"/>
          <w:sz w:val="28"/>
          <w:szCs w:val="28"/>
          <w:lang w:val="uk-UA"/>
        </w:rPr>
        <w:t>Основними завданнями Програми є:</w:t>
      </w:r>
    </w:p>
    <w:p w:rsidR="00943A2B" w:rsidRPr="00B82063" w:rsidRDefault="00943A2B" w:rsidP="00943A2B">
      <w:pPr>
        <w:pStyle w:val="21"/>
        <w:shd w:val="clear" w:color="auto" w:fill="auto"/>
        <w:spacing w:before="0" w:after="0" w:line="240" w:lineRule="auto"/>
        <w:ind w:firstLine="720"/>
        <w:jc w:val="both"/>
        <w:rPr>
          <w:spacing w:val="0"/>
          <w:sz w:val="28"/>
          <w:szCs w:val="28"/>
          <w:lang w:val="uk-UA"/>
        </w:rPr>
      </w:pPr>
      <w:r w:rsidRPr="00B82063">
        <w:rPr>
          <w:rStyle w:val="10"/>
          <w:spacing w:val="0"/>
          <w:sz w:val="28"/>
          <w:szCs w:val="28"/>
          <w:lang w:val="uk-UA"/>
        </w:rPr>
        <w:t>- розвиток різних видів пільгового молодіжного житлового кредитування, яке передбачає створення накопичувального та</w:t>
      </w:r>
      <w:r w:rsidRPr="00B82063">
        <w:rPr>
          <w:rStyle w:val="0pt"/>
          <w:rFonts w:eastAsia="Calibri"/>
          <w:sz w:val="28"/>
          <w:szCs w:val="28"/>
          <w:lang w:val="uk-UA"/>
        </w:rPr>
        <w:t xml:space="preserve"> відновлювального </w:t>
      </w:r>
      <w:r w:rsidRPr="00B82063">
        <w:rPr>
          <w:rStyle w:val="10"/>
          <w:spacing w:val="0"/>
          <w:sz w:val="28"/>
          <w:szCs w:val="28"/>
          <w:lang w:val="uk-UA"/>
        </w:rPr>
        <w:t>інвестиційного ресурсу держави для забезпечення молодих сімей та одиноких молодих громадян житлом, які зареєстровані у  Чернівецькому регіональному відділенні Державної спеціалізованої фінансової установи «Державний фонд сприяння молодіжному житловому будівництву» та потребують поліпшення житлових умов;</w:t>
      </w:r>
    </w:p>
    <w:p w:rsidR="00943A2B" w:rsidRPr="00B82063" w:rsidRDefault="00943A2B" w:rsidP="00943A2B">
      <w:pPr>
        <w:pStyle w:val="21"/>
        <w:shd w:val="clear" w:color="auto" w:fill="auto"/>
        <w:spacing w:before="0" w:after="0" w:line="240" w:lineRule="auto"/>
        <w:ind w:firstLine="720"/>
        <w:jc w:val="both"/>
        <w:rPr>
          <w:spacing w:val="0"/>
          <w:sz w:val="28"/>
          <w:szCs w:val="28"/>
          <w:lang w:val="uk-UA"/>
        </w:rPr>
      </w:pPr>
      <w:r w:rsidRPr="00B82063">
        <w:rPr>
          <w:rStyle w:val="10"/>
          <w:spacing w:val="0"/>
          <w:sz w:val="28"/>
          <w:szCs w:val="28"/>
          <w:lang w:val="uk-UA"/>
        </w:rPr>
        <w:t>- формування організаційних засад для здешевлення вартості будівництва і придбання житла молодими сім’ями та одинокими молодими громадянами;</w:t>
      </w:r>
    </w:p>
    <w:p w:rsidR="00943A2B" w:rsidRPr="00B82063" w:rsidRDefault="00943A2B" w:rsidP="00943A2B">
      <w:pPr>
        <w:pStyle w:val="21"/>
        <w:shd w:val="clear" w:color="auto" w:fill="auto"/>
        <w:spacing w:before="0" w:after="0" w:line="240" w:lineRule="auto"/>
        <w:ind w:firstLine="720"/>
        <w:jc w:val="both"/>
        <w:rPr>
          <w:spacing w:val="0"/>
          <w:sz w:val="28"/>
          <w:szCs w:val="28"/>
          <w:lang w:val="uk-UA"/>
        </w:rPr>
      </w:pPr>
      <w:r w:rsidRPr="00B82063">
        <w:rPr>
          <w:rStyle w:val="10"/>
          <w:spacing w:val="0"/>
          <w:sz w:val="28"/>
          <w:szCs w:val="28"/>
          <w:lang w:val="uk-UA"/>
        </w:rPr>
        <w:t>- розроблення фінансово-економічного механізму залучення у молодіжне житлове будівництво інвестицій для фінансування житлового будівництва для молодих сімей;</w:t>
      </w:r>
    </w:p>
    <w:p w:rsidR="00943A2B" w:rsidRPr="00B82063" w:rsidRDefault="00943A2B" w:rsidP="00943A2B">
      <w:pPr>
        <w:pStyle w:val="21"/>
        <w:shd w:val="clear" w:color="auto" w:fill="auto"/>
        <w:spacing w:before="0" w:after="0" w:line="240" w:lineRule="auto"/>
        <w:ind w:firstLine="720"/>
        <w:jc w:val="both"/>
        <w:rPr>
          <w:spacing w:val="0"/>
          <w:sz w:val="28"/>
          <w:szCs w:val="28"/>
          <w:lang w:val="uk-UA"/>
        </w:rPr>
      </w:pPr>
      <w:r w:rsidRPr="00B82063">
        <w:rPr>
          <w:rStyle w:val="10"/>
          <w:spacing w:val="0"/>
          <w:sz w:val="28"/>
          <w:szCs w:val="28"/>
          <w:lang w:val="uk-UA"/>
        </w:rPr>
        <w:t>- розвиток системи молодіжних житлових комплексів (житлово-будівельних кооперативів) та інших форм участі молоді в організації будівництва (придбання) житла.</w:t>
      </w:r>
    </w:p>
    <w:p w:rsidR="00943A2B" w:rsidRPr="00B82063" w:rsidRDefault="00943A2B" w:rsidP="00943A2B">
      <w:pPr>
        <w:ind w:firstLine="708"/>
        <w:jc w:val="both"/>
        <w:rPr>
          <w:sz w:val="28"/>
          <w:szCs w:val="28"/>
        </w:rPr>
      </w:pPr>
      <w:r w:rsidRPr="00B82063">
        <w:rPr>
          <w:sz w:val="28"/>
          <w:szCs w:val="28"/>
        </w:rPr>
        <w:t>Впродовж дії Програми проведено низку організаційно-практичних заходів, зокрема:</w:t>
      </w:r>
    </w:p>
    <w:p w:rsidR="00943A2B" w:rsidRPr="00B82063" w:rsidRDefault="00943A2B" w:rsidP="00943A2B">
      <w:pPr>
        <w:ind w:firstLine="708"/>
        <w:jc w:val="both"/>
        <w:rPr>
          <w:sz w:val="28"/>
          <w:szCs w:val="28"/>
        </w:rPr>
      </w:pPr>
      <w:r w:rsidRPr="00B82063">
        <w:rPr>
          <w:sz w:val="28"/>
          <w:szCs w:val="28"/>
        </w:rPr>
        <w:t>- з метою популяризації Програми забезпечення молоді житлом у місті Чернівцях на 2013 – 2017 роки проведено 5 зустрічей з представниками ЗМІ, дано інтерв’ю, 4 виступи на обласному радіо та 2 виступи в ефірі місцевих телеканалів;</w:t>
      </w:r>
    </w:p>
    <w:p w:rsidR="00943A2B" w:rsidRPr="00B82063" w:rsidRDefault="00943A2B" w:rsidP="00943A2B">
      <w:pPr>
        <w:ind w:firstLine="708"/>
        <w:jc w:val="both"/>
        <w:rPr>
          <w:sz w:val="28"/>
          <w:szCs w:val="28"/>
        </w:rPr>
      </w:pPr>
      <w:r w:rsidRPr="00B82063">
        <w:rPr>
          <w:sz w:val="28"/>
          <w:szCs w:val="28"/>
        </w:rPr>
        <w:t>- фахівцями фонду надано консультації 256 сім’ям та одиноким молодим громадянам з питань можливого поліпшення їх житлових умов шляхом отримання державного пільгового кредитування на будівництво (реконструкцію), придбання житла.</w:t>
      </w:r>
    </w:p>
    <w:p w:rsidR="00943A2B" w:rsidRPr="00B82063" w:rsidRDefault="00943A2B" w:rsidP="00943A2B">
      <w:pPr>
        <w:ind w:firstLine="708"/>
        <w:jc w:val="both"/>
        <w:rPr>
          <w:sz w:val="28"/>
          <w:szCs w:val="28"/>
        </w:rPr>
      </w:pPr>
      <w:r w:rsidRPr="00B82063">
        <w:rPr>
          <w:sz w:val="28"/>
          <w:szCs w:val="28"/>
        </w:rPr>
        <w:t>Станом на 01.01.201</w:t>
      </w:r>
      <w:r>
        <w:rPr>
          <w:sz w:val="28"/>
          <w:szCs w:val="28"/>
        </w:rPr>
        <w:t>8</w:t>
      </w:r>
      <w:r w:rsidRPr="00B82063">
        <w:rPr>
          <w:sz w:val="28"/>
          <w:szCs w:val="28"/>
        </w:rPr>
        <w:t xml:space="preserve"> року, відповідно до затвердженої наказом Міністерства України у справах сім’ї, молоді та спорту від 26.10.2005 № 2488 «Інструкції про порядок визначення переваги в наданні пільгового довготермінового кредиту молодим сім’ям та одиноким молодим громадянам </w:t>
      </w:r>
      <w:r w:rsidRPr="00B82063">
        <w:rPr>
          <w:sz w:val="28"/>
          <w:szCs w:val="28"/>
        </w:rPr>
        <w:lastRenderedPageBreak/>
        <w:t>на будівництво та реконструкцію житла» реєстр складає 242 особи – потенційні позичальники (з них 2</w:t>
      </w:r>
      <w:r>
        <w:rPr>
          <w:sz w:val="28"/>
          <w:szCs w:val="28"/>
        </w:rPr>
        <w:t>17</w:t>
      </w:r>
      <w:r w:rsidRPr="00B82063">
        <w:rPr>
          <w:sz w:val="28"/>
          <w:szCs w:val="28"/>
        </w:rPr>
        <w:t xml:space="preserve"> ос</w:t>
      </w:r>
      <w:r>
        <w:rPr>
          <w:sz w:val="28"/>
          <w:szCs w:val="28"/>
        </w:rPr>
        <w:t>іб</w:t>
      </w:r>
      <w:r w:rsidRPr="00B82063">
        <w:rPr>
          <w:sz w:val="28"/>
          <w:szCs w:val="28"/>
        </w:rPr>
        <w:t xml:space="preserve"> -  мешканці </w:t>
      </w:r>
      <w:proofErr w:type="spellStart"/>
      <w:r w:rsidRPr="00B82063">
        <w:rPr>
          <w:sz w:val="28"/>
          <w:szCs w:val="28"/>
        </w:rPr>
        <w:t>м.Чернівців</w:t>
      </w:r>
      <w:proofErr w:type="spellEnd"/>
      <w:r w:rsidRPr="00B82063">
        <w:rPr>
          <w:sz w:val="28"/>
          <w:szCs w:val="28"/>
        </w:rPr>
        <w:t>).</w:t>
      </w:r>
    </w:p>
    <w:p w:rsidR="00943A2B" w:rsidRPr="00B82063" w:rsidRDefault="00943A2B" w:rsidP="00943A2B">
      <w:pPr>
        <w:tabs>
          <w:tab w:val="center" w:pos="7285"/>
          <w:tab w:val="left" w:pos="8656"/>
        </w:tabs>
        <w:ind w:firstLine="720"/>
        <w:jc w:val="both"/>
        <w:rPr>
          <w:sz w:val="28"/>
          <w:szCs w:val="28"/>
        </w:rPr>
      </w:pPr>
      <w:r w:rsidRPr="00B82063">
        <w:rPr>
          <w:sz w:val="28"/>
          <w:szCs w:val="28"/>
        </w:rPr>
        <w:t>Станом на 01.01.201</w:t>
      </w:r>
      <w:r>
        <w:rPr>
          <w:sz w:val="28"/>
          <w:szCs w:val="28"/>
        </w:rPr>
        <w:t>8</w:t>
      </w:r>
      <w:r w:rsidRPr="00B82063">
        <w:rPr>
          <w:sz w:val="28"/>
          <w:szCs w:val="28"/>
        </w:rPr>
        <w:t xml:space="preserve"> р. - список молоді, яка </w:t>
      </w:r>
      <w:r w:rsidRPr="00B82063">
        <w:rPr>
          <w:bCs/>
          <w:sz w:val="28"/>
          <w:szCs w:val="28"/>
        </w:rPr>
        <w:t>перебуває на черзі для отримання пільгових довготермінових молодіжних кредитів на будівництво (реконструкцію) та придбання житла з міського бюджету складає</w:t>
      </w:r>
      <w:r>
        <w:rPr>
          <w:bCs/>
          <w:sz w:val="28"/>
          <w:szCs w:val="28"/>
        </w:rPr>
        <w:t xml:space="preserve"> 9</w:t>
      </w:r>
      <w:r w:rsidRPr="00B82063">
        <w:rPr>
          <w:bCs/>
          <w:sz w:val="28"/>
          <w:szCs w:val="28"/>
        </w:rPr>
        <w:t xml:space="preserve"> осіб.</w:t>
      </w:r>
    </w:p>
    <w:p w:rsidR="00943A2B" w:rsidRPr="00B82063" w:rsidRDefault="00943A2B" w:rsidP="00943A2B">
      <w:pPr>
        <w:pStyle w:val="20"/>
        <w:ind w:firstLine="708"/>
        <w:rPr>
          <w:szCs w:val="28"/>
        </w:rPr>
      </w:pPr>
      <w:r w:rsidRPr="00B82063">
        <w:rPr>
          <w:szCs w:val="28"/>
        </w:rPr>
        <w:t>В межах виділених асигнувань Фондом у 2013 – 2017 роках мешканцям міста Чернівців  надано 11 кредитів за рахунок коштів міського бюджету.</w:t>
      </w:r>
    </w:p>
    <w:p w:rsidR="00943A2B" w:rsidRPr="00B82063" w:rsidRDefault="00943A2B" w:rsidP="00943A2B">
      <w:pPr>
        <w:pStyle w:val="20"/>
        <w:rPr>
          <w:szCs w:val="28"/>
        </w:rPr>
      </w:pPr>
      <w:r w:rsidRPr="00B82063">
        <w:rPr>
          <w:szCs w:val="28"/>
        </w:rPr>
        <w:tab/>
        <w:t xml:space="preserve">В рамках виконання Програми Чернівецькому регіональному управлінню Фонду була виділена в постійне користування земельна ділянка за </w:t>
      </w:r>
      <w:proofErr w:type="spellStart"/>
      <w:r w:rsidRPr="00B82063">
        <w:rPr>
          <w:szCs w:val="28"/>
        </w:rPr>
        <w:t>адресою</w:t>
      </w:r>
      <w:proofErr w:type="spellEnd"/>
      <w:r w:rsidRPr="00B82063">
        <w:rPr>
          <w:szCs w:val="28"/>
        </w:rPr>
        <w:t xml:space="preserve"> м. Чернівці, вул. Руська, 235-в площею </w:t>
      </w:r>
      <w:smartTag w:uri="urn:schemas-microsoft-com:office:smarttags" w:element="metricconverter">
        <w:smartTagPr>
          <w:attr w:name="ProductID" w:val="0,7464 га"/>
        </w:smartTagPr>
        <w:r w:rsidRPr="00B82063">
          <w:rPr>
            <w:szCs w:val="28"/>
          </w:rPr>
          <w:t>0,7464 га</w:t>
        </w:r>
      </w:smartTag>
      <w:r w:rsidRPr="00B82063">
        <w:rPr>
          <w:szCs w:val="28"/>
        </w:rPr>
        <w:t xml:space="preserve">. У двох 9-ти поверхових 37-квартирних будинках загалом молодіжні кредити отримали 60 мешканців міста, в </w:t>
      </w:r>
      <w:proofErr w:type="spellStart"/>
      <w:r w:rsidRPr="00B82063">
        <w:rPr>
          <w:szCs w:val="28"/>
        </w:rPr>
        <w:t>т.ч</w:t>
      </w:r>
      <w:proofErr w:type="spellEnd"/>
      <w:r w:rsidRPr="00B82063">
        <w:rPr>
          <w:szCs w:val="28"/>
        </w:rPr>
        <w:t>. з міського бюджету – 15 осіб.</w:t>
      </w:r>
    </w:p>
    <w:p w:rsidR="00943A2B" w:rsidRPr="00B82063" w:rsidRDefault="00943A2B" w:rsidP="00943A2B">
      <w:pPr>
        <w:pStyle w:val="20"/>
        <w:ind w:firstLine="708"/>
        <w:rPr>
          <w:szCs w:val="28"/>
        </w:rPr>
      </w:pPr>
      <w:r w:rsidRPr="00B82063">
        <w:rPr>
          <w:szCs w:val="28"/>
        </w:rPr>
        <w:t xml:space="preserve">Введено в експлуатацію 48-квартирний будинок на </w:t>
      </w:r>
      <w:proofErr w:type="spellStart"/>
      <w:r w:rsidRPr="00B82063">
        <w:rPr>
          <w:szCs w:val="28"/>
        </w:rPr>
        <w:t>пров</w:t>
      </w:r>
      <w:proofErr w:type="spellEnd"/>
      <w:r w:rsidRPr="00B82063">
        <w:rPr>
          <w:szCs w:val="28"/>
        </w:rPr>
        <w:t xml:space="preserve">. Миру, 7-А (1 кредит), планується введення в експлуатацію будинок за </w:t>
      </w:r>
      <w:proofErr w:type="spellStart"/>
      <w:r w:rsidRPr="00B82063">
        <w:rPr>
          <w:szCs w:val="28"/>
        </w:rPr>
        <w:t>адресою</w:t>
      </w:r>
      <w:proofErr w:type="spellEnd"/>
      <w:r w:rsidRPr="00B82063">
        <w:rPr>
          <w:szCs w:val="28"/>
        </w:rPr>
        <w:t xml:space="preserve"> Проспект Незалежності, 116 – Б (4 кредити).</w:t>
      </w:r>
    </w:p>
    <w:p w:rsidR="00943A2B" w:rsidRPr="00B82063" w:rsidRDefault="00943A2B" w:rsidP="00943A2B">
      <w:pPr>
        <w:pStyle w:val="20"/>
        <w:ind w:firstLine="708"/>
        <w:rPr>
          <w:szCs w:val="28"/>
        </w:rPr>
      </w:pPr>
      <w:r w:rsidRPr="00B82063">
        <w:rPr>
          <w:szCs w:val="28"/>
        </w:rPr>
        <w:t>Освоєння кредитних ресурсів здійснювали такі будівельні організації, як “</w:t>
      </w:r>
      <w:proofErr w:type="spellStart"/>
      <w:r w:rsidRPr="00B82063">
        <w:rPr>
          <w:szCs w:val="28"/>
        </w:rPr>
        <w:t>Чернівціжитлобуд</w:t>
      </w:r>
      <w:proofErr w:type="spellEnd"/>
      <w:r w:rsidRPr="00B82063">
        <w:rPr>
          <w:szCs w:val="28"/>
        </w:rPr>
        <w:t>” , ПМК-76 та «РУВІ-2010»</w:t>
      </w:r>
    </w:p>
    <w:p w:rsidR="00943A2B" w:rsidRPr="00B82063" w:rsidRDefault="00943A2B" w:rsidP="00943A2B">
      <w:pPr>
        <w:ind w:firstLine="708"/>
        <w:jc w:val="both"/>
        <w:rPr>
          <w:sz w:val="28"/>
          <w:szCs w:val="28"/>
        </w:rPr>
      </w:pPr>
      <w:r w:rsidRPr="00B82063">
        <w:rPr>
          <w:sz w:val="28"/>
          <w:szCs w:val="28"/>
        </w:rPr>
        <w:t xml:space="preserve">Для оперативного вирішення поточних питань та координації дій  установ та організацій, задіяних у виконанні Програми, функціонує Координаційна рада з питань молодіжного житлового будівництва. У звітному періоді проведено 21 засідань. </w:t>
      </w:r>
    </w:p>
    <w:p w:rsidR="00943A2B" w:rsidRPr="00006842" w:rsidRDefault="00943A2B" w:rsidP="00943A2B">
      <w:pPr>
        <w:ind w:firstLine="708"/>
        <w:jc w:val="both"/>
        <w:rPr>
          <w:sz w:val="28"/>
        </w:rPr>
      </w:pPr>
      <w:r>
        <w:rPr>
          <w:bCs/>
          <w:sz w:val="28"/>
        </w:rPr>
        <w:t>Програма</w:t>
      </w:r>
      <w:r w:rsidRPr="00006842">
        <w:rPr>
          <w:bCs/>
          <w:sz w:val="28"/>
        </w:rPr>
        <w:t xml:space="preserve"> забезпечення молоді житлом у місті Чернівцях на 2013 - 2017 роки</w:t>
      </w:r>
      <w:r>
        <w:rPr>
          <w:bCs/>
          <w:sz w:val="28"/>
        </w:rPr>
        <w:t xml:space="preserve"> передбачала консолідацію усіх бюджетних кошті</w:t>
      </w:r>
      <w:r w:rsidRPr="0073769D">
        <w:rPr>
          <w:bCs/>
          <w:sz w:val="28"/>
        </w:rPr>
        <w:t>в</w:t>
      </w:r>
      <w:r>
        <w:rPr>
          <w:bCs/>
          <w:sz w:val="28"/>
        </w:rPr>
        <w:t xml:space="preserve">, підвищення інвестиційної привабливості житлової сфери та створення належних умов для забезпечення молодих сімей та одиноких молодих громадян житлом </w:t>
      </w:r>
    </w:p>
    <w:p w:rsidR="00943A2B" w:rsidRDefault="00943A2B" w:rsidP="00943A2B">
      <w:pPr>
        <w:ind w:firstLine="708"/>
        <w:jc w:val="both"/>
        <w:rPr>
          <w:sz w:val="28"/>
        </w:rPr>
      </w:pPr>
      <w:r>
        <w:rPr>
          <w:sz w:val="28"/>
          <w:lang w:val="ru-RU"/>
        </w:rPr>
        <w:t>З</w:t>
      </w:r>
      <w:r>
        <w:rPr>
          <w:sz w:val="28"/>
        </w:rPr>
        <w:t xml:space="preserve"> метою популяризації Програми забезпечення молоді житлом у місті Чернівцях на 2013 – 2017 роки </w:t>
      </w:r>
      <w:r>
        <w:rPr>
          <w:sz w:val="28"/>
          <w:lang w:val="ru-RU"/>
        </w:rPr>
        <w:t>пост</w:t>
      </w:r>
      <w:r>
        <w:rPr>
          <w:sz w:val="28"/>
        </w:rPr>
        <w:t>і</w:t>
      </w:r>
      <w:proofErr w:type="spellStart"/>
      <w:r>
        <w:rPr>
          <w:sz w:val="28"/>
          <w:lang w:val="ru-RU"/>
        </w:rPr>
        <w:t>йно</w:t>
      </w:r>
      <w:proofErr w:type="spellEnd"/>
      <w:r>
        <w:rPr>
          <w:sz w:val="28"/>
          <w:lang w:val="ru-RU"/>
        </w:rPr>
        <w:t xml:space="preserve"> </w:t>
      </w:r>
      <w:proofErr w:type="spellStart"/>
      <w:r>
        <w:rPr>
          <w:sz w:val="28"/>
          <w:lang w:val="ru-RU"/>
        </w:rPr>
        <w:t>проводяться</w:t>
      </w:r>
      <w:proofErr w:type="spellEnd"/>
      <w:r>
        <w:rPr>
          <w:sz w:val="28"/>
          <w:lang w:val="ru-RU"/>
        </w:rPr>
        <w:t xml:space="preserve"> з</w:t>
      </w:r>
      <w:proofErr w:type="spellStart"/>
      <w:r>
        <w:rPr>
          <w:sz w:val="28"/>
        </w:rPr>
        <w:t>устрічі</w:t>
      </w:r>
      <w:proofErr w:type="spellEnd"/>
      <w:r>
        <w:rPr>
          <w:sz w:val="28"/>
        </w:rPr>
        <w:t xml:space="preserve"> з представниками ЗМІ, виступів на радіо та в ефірі місцевих телеканалів;</w:t>
      </w:r>
    </w:p>
    <w:p w:rsidR="00943A2B" w:rsidRDefault="00943A2B" w:rsidP="00943A2B">
      <w:pPr>
        <w:ind w:firstLine="708"/>
        <w:jc w:val="both"/>
        <w:rPr>
          <w:sz w:val="28"/>
        </w:rPr>
      </w:pPr>
      <w:r>
        <w:rPr>
          <w:sz w:val="28"/>
        </w:rPr>
        <w:t>Фахівцями фонду надаються консультації сім’ям та одиноким молодим громадянам з питань можливого поліпшення їх житлових умов шляхом отримання державного пільгового кредитування на будівництво (реконструкцію), придбання житла.</w:t>
      </w:r>
    </w:p>
    <w:p w:rsidR="00943A2B" w:rsidRDefault="00943A2B" w:rsidP="00943A2B">
      <w:pPr>
        <w:ind w:firstLine="708"/>
        <w:jc w:val="both"/>
        <w:rPr>
          <w:sz w:val="28"/>
        </w:rPr>
      </w:pPr>
      <w:r>
        <w:rPr>
          <w:sz w:val="28"/>
        </w:rPr>
        <w:t xml:space="preserve">Відповідно до затвердженої наказом Міністерства України у справах сім’ї, молоді та спорту від 26.10.2005 № 2488 «Інструкції про порядок визначення переваги в наданні пільгового довготермінового кредиту молодим сім’ям та одиноким молодим громадянам на будівництво та реконструкцію житла» реєстр складає 235 осіб – потенційних позичальників (з них 193 особи -  мешканці </w:t>
      </w:r>
      <w:proofErr w:type="spellStart"/>
      <w:r>
        <w:rPr>
          <w:sz w:val="28"/>
        </w:rPr>
        <w:t>м.Чернівців</w:t>
      </w:r>
      <w:proofErr w:type="spellEnd"/>
      <w:r>
        <w:rPr>
          <w:sz w:val="28"/>
        </w:rPr>
        <w:t>).</w:t>
      </w:r>
    </w:p>
    <w:p w:rsidR="00943A2B" w:rsidRDefault="00943A2B" w:rsidP="00943A2B">
      <w:pPr>
        <w:ind w:firstLine="708"/>
        <w:jc w:val="both"/>
        <w:rPr>
          <w:sz w:val="28"/>
          <w:szCs w:val="28"/>
        </w:rPr>
      </w:pPr>
      <w:r>
        <w:rPr>
          <w:sz w:val="28"/>
          <w:szCs w:val="28"/>
        </w:rPr>
        <w:lastRenderedPageBreak/>
        <w:t xml:space="preserve">Для оперативного вирішення поточних питань та координації дій задіяних у виконанні Програми установ та організацій </w:t>
      </w:r>
      <w:proofErr w:type="spellStart"/>
      <w:r>
        <w:rPr>
          <w:sz w:val="28"/>
          <w:szCs w:val="28"/>
          <w:lang w:val="ru-RU"/>
        </w:rPr>
        <w:t>функціонувала</w:t>
      </w:r>
      <w:proofErr w:type="spellEnd"/>
      <w:r>
        <w:rPr>
          <w:sz w:val="28"/>
          <w:szCs w:val="28"/>
        </w:rPr>
        <w:t xml:space="preserve"> Координаційна рада з питань молодіжного житлового будівництва. </w:t>
      </w:r>
    </w:p>
    <w:p w:rsidR="00943A2B" w:rsidRDefault="00943A2B" w:rsidP="00943A2B">
      <w:pPr>
        <w:ind w:firstLine="708"/>
        <w:jc w:val="both"/>
        <w:rPr>
          <w:sz w:val="28"/>
          <w:szCs w:val="28"/>
        </w:rPr>
      </w:pPr>
      <w:r>
        <w:rPr>
          <w:sz w:val="28"/>
          <w:szCs w:val="28"/>
        </w:rPr>
        <w:t>У списку молоді м. Чернівців, яка перебуває на черзі для отримання молодіжних  кредитів перебуває 9 осіб.</w:t>
      </w:r>
    </w:p>
    <w:p w:rsidR="00943A2B" w:rsidRDefault="00943A2B" w:rsidP="00943A2B">
      <w:pPr>
        <w:ind w:firstLine="708"/>
        <w:jc w:val="both"/>
        <w:rPr>
          <w:sz w:val="28"/>
          <w:szCs w:val="28"/>
        </w:rPr>
      </w:pPr>
    </w:p>
    <w:p w:rsidR="00943A2B" w:rsidRDefault="00943A2B" w:rsidP="00943A2B">
      <w:pPr>
        <w:ind w:firstLine="708"/>
        <w:jc w:val="both"/>
        <w:rPr>
          <w:sz w:val="28"/>
          <w:szCs w:val="28"/>
        </w:rPr>
      </w:pPr>
      <w:r>
        <w:rPr>
          <w:sz w:val="28"/>
          <w:szCs w:val="28"/>
        </w:rPr>
        <w:t xml:space="preserve"> </w:t>
      </w:r>
    </w:p>
    <w:p w:rsidR="00943A2B" w:rsidRPr="00470C7E" w:rsidRDefault="00943A2B" w:rsidP="00943A2B">
      <w:pPr>
        <w:spacing w:before="60"/>
        <w:ind w:right="200"/>
        <w:jc w:val="both"/>
      </w:pPr>
      <w:r>
        <w:tab/>
      </w:r>
    </w:p>
    <w:tbl>
      <w:tblPr>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8"/>
        <w:gridCol w:w="2127"/>
        <w:gridCol w:w="709"/>
        <w:gridCol w:w="709"/>
        <w:gridCol w:w="708"/>
        <w:gridCol w:w="709"/>
        <w:gridCol w:w="567"/>
        <w:gridCol w:w="567"/>
        <w:gridCol w:w="567"/>
        <w:gridCol w:w="567"/>
        <w:gridCol w:w="567"/>
        <w:gridCol w:w="567"/>
        <w:gridCol w:w="1276"/>
      </w:tblGrid>
      <w:tr w:rsidR="00943A2B" w:rsidTr="00E66253">
        <w:trPr>
          <w:cantSplit/>
          <w:trHeight w:val="255"/>
        </w:trPr>
        <w:tc>
          <w:tcPr>
            <w:tcW w:w="288" w:type="dxa"/>
            <w:vMerge w:val="restart"/>
          </w:tcPr>
          <w:p w:rsidR="00943A2B" w:rsidRDefault="00943A2B" w:rsidP="00E66253">
            <w:pPr>
              <w:jc w:val="center"/>
            </w:pPr>
          </w:p>
        </w:tc>
        <w:tc>
          <w:tcPr>
            <w:tcW w:w="2127" w:type="dxa"/>
            <w:vMerge w:val="restart"/>
          </w:tcPr>
          <w:p w:rsidR="00943A2B" w:rsidRDefault="00943A2B" w:rsidP="00E66253">
            <w:pPr>
              <w:jc w:val="center"/>
            </w:pPr>
          </w:p>
        </w:tc>
        <w:tc>
          <w:tcPr>
            <w:tcW w:w="6237" w:type="dxa"/>
            <w:gridSpan w:val="10"/>
          </w:tcPr>
          <w:p w:rsidR="00943A2B" w:rsidRDefault="00943A2B" w:rsidP="00E66253">
            <w:pPr>
              <w:jc w:val="center"/>
            </w:pPr>
            <w:r>
              <w:t xml:space="preserve">Обсяги надходження коштів </w:t>
            </w:r>
          </w:p>
          <w:p w:rsidR="00943A2B" w:rsidRDefault="00943A2B" w:rsidP="00E66253">
            <w:pPr>
              <w:jc w:val="center"/>
            </w:pPr>
            <w:r>
              <w:t>млн. грн.</w:t>
            </w:r>
          </w:p>
          <w:p w:rsidR="00943A2B" w:rsidRDefault="00943A2B" w:rsidP="00E66253">
            <w:pPr>
              <w:jc w:val="center"/>
            </w:pPr>
          </w:p>
        </w:tc>
        <w:tc>
          <w:tcPr>
            <w:tcW w:w="1276" w:type="dxa"/>
          </w:tcPr>
          <w:p w:rsidR="00943A2B" w:rsidRDefault="00943A2B" w:rsidP="00E66253">
            <w:pPr>
              <w:jc w:val="center"/>
            </w:pPr>
            <w:r>
              <w:t>Надано кредитів</w:t>
            </w:r>
          </w:p>
        </w:tc>
      </w:tr>
      <w:tr w:rsidR="00943A2B" w:rsidTr="00E66253">
        <w:trPr>
          <w:cantSplit/>
          <w:trHeight w:val="255"/>
        </w:trPr>
        <w:tc>
          <w:tcPr>
            <w:tcW w:w="288" w:type="dxa"/>
            <w:vMerge/>
          </w:tcPr>
          <w:p w:rsidR="00943A2B" w:rsidRDefault="00943A2B" w:rsidP="00E66253">
            <w:pPr>
              <w:jc w:val="center"/>
            </w:pPr>
          </w:p>
        </w:tc>
        <w:tc>
          <w:tcPr>
            <w:tcW w:w="2127" w:type="dxa"/>
            <w:vMerge/>
          </w:tcPr>
          <w:p w:rsidR="00943A2B" w:rsidRDefault="00943A2B" w:rsidP="00E66253"/>
        </w:tc>
        <w:tc>
          <w:tcPr>
            <w:tcW w:w="709" w:type="dxa"/>
          </w:tcPr>
          <w:p w:rsidR="00943A2B" w:rsidRDefault="00943A2B" w:rsidP="00E66253">
            <w:pPr>
              <w:jc w:val="center"/>
            </w:pPr>
            <w:r>
              <w:t>План 2013</w:t>
            </w:r>
          </w:p>
        </w:tc>
        <w:tc>
          <w:tcPr>
            <w:tcW w:w="709" w:type="dxa"/>
          </w:tcPr>
          <w:p w:rsidR="00943A2B" w:rsidRDefault="00943A2B" w:rsidP="00E66253">
            <w:pPr>
              <w:jc w:val="center"/>
            </w:pPr>
            <w:r>
              <w:t>Факт 2013</w:t>
            </w:r>
          </w:p>
        </w:tc>
        <w:tc>
          <w:tcPr>
            <w:tcW w:w="708" w:type="dxa"/>
          </w:tcPr>
          <w:p w:rsidR="00943A2B" w:rsidRDefault="00943A2B" w:rsidP="00E66253">
            <w:pPr>
              <w:jc w:val="center"/>
            </w:pPr>
            <w:r>
              <w:t>План 2014</w:t>
            </w:r>
          </w:p>
        </w:tc>
        <w:tc>
          <w:tcPr>
            <w:tcW w:w="709" w:type="dxa"/>
          </w:tcPr>
          <w:p w:rsidR="00943A2B" w:rsidRDefault="00943A2B" w:rsidP="00E66253">
            <w:pPr>
              <w:jc w:val="center"/>
            </w:pPr>
            <w:r>
              <w:t>Факт 2014</w:t>
            </w:r>
          </w:p>
        </w:tc>
        <w:tc>
          <w:tcPr>
            <w:tcW w:w="567" w:type="dxa"/>
          </w:tcPr>
          <w:p w:rsidR="00943A2B" w:rsidRDefault="00943A2B" w:rsidP="00E66253">
            <w:pPr>
              <w:jc w:val="center"/>
            </w:pPr>
            <w:r>
              <w:t>План 2015</w:t>
            </w:r>
          </w:p>
        </w:tc>
        <w:tc>
          <w:tcPr>
            <w:tcW w:w="567" w:type="dxa"/>
          </w:tcPr>
          <w:p w:rsidR="00943A2B" w:rsidRDefault="00943A2B" w:rsidP="00E66253">
            <w:pPr>
              <w:jc w:val="center"/>
            </w:pPr>
            <w:r>
              <w:t>Факт 2015</w:t>
            </w:r>
          </w:p>
        </w:tc>
        <w:tc>
          <w:tcPr>
            <w:tcW w:w="567" w:type="dxa"/>
          </w:tcPr>
          <w:p w:rsidR="00943A2B" w:rsidRDefault="00943A2B" w:rsidP="00E66253">
            <w:pPr>
              <w:jc w:val="center"/>
            </w:pPr>
            <w:r>
              <w:t>План 2016</w:t>
            </w:r>
          </w:p>
        </w:tc>
        <w:tc>
          <w:tcPr>
            <w:tcW w:w="567" w:type="dxa"/>
          </w:tcPr>
          <w:p w:rsidR="00943A2B" w:rsidRDefault="00943A2B" w:rsidP="00E66253">
            <w:pPr>
              <w:jc w:val="center"/>
            </w:pPr>
            <w:r>
              <w:t>Факт 2016</w:t>
            </w:r>
          </w:p>
        </w:tc>
        <w:tc>
          <w:tcPr>
            <w:tcW w:w="567" w:type="dxa"/>
          </w:tcPr>
          <w:p w:rsidR="00943A2B" w:rsidRDefault="00943A2B" w:rsidP="00E66253">
            <w:pPr>
              <w:jc w:val="center"/>
            </w:pPr>
            <w:r>
              <w:t>План 2017</w:t>
            </w:r>
          </w:p>
        </w:tc>
        <w:tc>
          <w:tcPr>
            <w:tcW w:w="567" w:type="dxa"/>
          </w:tcPr>
          <w:p w:rsidR="00943A2B" w:rsidRDefault="00943A2B" w:rsidP="00E66253">
            <w:pPr>
              <w:jc w:val="center"/>
            </w:pPr>
            <w:r>
              <w:t>Факт 2017</w:t>
            </w:r>
          </w:p>
        </w:tc>
        <w:tc>
          <w:tcPr>
            <w:tcW w:w="1276" w:type="dxa"/>
          </w:tcPr>
          <w:p w:rsidR="00943A2B" w:rsidRDefault="00943A2B" w:rsidP="00E66253">
            <w:pPr>
              <w:jc w:val="center"/>
            </w:pPr>
          </w:p>
        </w:tc>
      </w:tr>
      <w:tr w:rsidR="00943A2B" w:rsidRPr="00F26E86" w:rsidTr="00E66253">
        <w:trPr>
          <w:cantSplit/>
          <w:trHeight w:val="255"/>
        </w:trPr>
        <w:tc>
          <w:tcPr>
            <w:tcW w:w="288" w:type="dxa"/>
          </w:tcPr>
          <w:p w:rsidR="00943A2B" w:rsidRDefault="00943A2B" w:rsidP="00E66253">
            <w:pPr>
              <w:jc w:val="center"/>
            </w:pPr>
            <w:r>
              <w:t>1</w:t>
            </w:r>
          </w:p>
        </w:tc>
        <w:tc>
          <w:tcPr>
            <w:tcW w:w="2127" w:type="dxa"/>
          </w:tcPr>
          <w:p w:rsidR="00943A2B" w:rsidRDefault="00943A2B" w:rsidP="00E66253">
            <w:pPr>
              <w:jc w:val="center"/>
            </w:pPr>
            <w:r>
              <w:t>Державний бюджет</w:t>
            </w:r>
          </w:p>
        </w:tc>
        <w:tc>
          <w:tcPr>
            <w:tcW w:w="709" w:type="dxa"/>
          </w:tcPr>
          <w:p w:rsidR="00943A2B" w:rsidRDefault="00943A2B" w:rsidP="00E66253">
            <w:pPr>
              <w:jc w:val="center"/>
            </w:pPr>
            <w:r>
              <w:t>14,5</w:t>
            </w:r>
          </w:p>
        </w:tc>
        <w:tc>
          <w:tcPr>
            <w:tcW w:w="709" w:type="dxa"/>
          </w:tcPr>
          <w:p w:rsidR="00943A2B" w:rsidRDefault="00943A2B" w:rsidP="00E66253">
            <w:pPr>
              <w:jc w:val="center"/>
            </w:pPr>
            <w:r>
              <w:t>2,8</w:t>
            </w:r>
          </w:p>
        </w:tc>
        <w:tc>
          <w:tcPr>
            <w:tcW w:w="708" w:type="dxa"/>
          </w:tcPr>
          <w:p w:rsidR="00943A2B" w:rsidRDefault="00943A2B" w:rsidP="00E66253">
            <w:pPr>
              <w:jc w:val="center"/>
            </w:pPr>
            <w:r>
              <w:t>15,25</w:t>
            </w:r>
          </w:p>
        </w:tc>
        <w:tc>
          <w:tcPr>
            <w:tcW w:w="709" w:type="dxa"/>
          </w:tcPr>
          <w:p w:rsidR="00943A2B" w:rsidRDefault="00943A2B" w:rsidP="00E66253">
            <w:pPr>
              <w:jc w:val="center"/>
            </w:pPr>
            <w:r>
              <w:t>-</w:t>
            </w:r>
          </w:p>
        </w:tc>
        <w:tc>
          <w:tcPr>
            <w:tcW w:w="567" w:type="dxa"/>
          </w:tcPr>
          <w:p w:rsidR="00943A2B" w:rsidRDefault="00943A2B" w:rsidP="00E66253">
            <w:pPr>
              <w:jc w:val="center"/>
            </w:pPr>
            <w:r>
              <w:t>16,5</w:t>
            </w:r>
          </w:p>
        </w:tc>
        <w:tc>
          <w:tcPr>
            <w:tcW w:w="567" w:type="dxa"/>
          </w:tcPr>
          <w:p w:rsidR="00943A2B" w:rsidRPr="00F26E86" w:rsidRDefault="00943A2B" w:rsidP="00E66253">
            <w:pPr>
              <w:jc w:val="center"/>
            </w:pPr>
            <w:r>
              <w:t>-</w:t>
            </w:r>
          </w:p>
        </w:tc>
        <w:tc>
          <w:tcPr>
            <w:tcW w:w="567" w:type="dxa"/>
          </w:tcPr>
          <w:p w:rsidR="00943A2B" w:rsidRPr="00F26E86" w:rsidRDefault="00943A2B" w:rsidP="00E66253">
            <w:pPr>
              <w:jc w:val="center"/>
            </w:pPr>
            <w:r>
              <w:t>17,25</w:t>
            </w:r>
          </w:p>
        </w:tc>
        <w:tc>
          <w:tcPr>
            <w:tcW w:w="567" w:type="dxa"/>
          </w:tcPr>
          <w:p w:rsidR="00943A2B" w:rsidRPr="00F26E86" w:rsidRDefault="00943A2B" w:rsidP="00E66253">
            <w:pPr>
              <w:jc w:val="center"/>
            </w:pPr>
            <w:r>
              <w:t>-</w:t>
            </w:r>
          </w:p>
        </w:tc>
        <w:tc>
          <w:tcPr>
            <w:tcW w:w="567" w:type="dxa"/>
          </w:tcPr>
          <w:p w:rsidR="00943A2B" w:rsidRPr="00F26E86" w:rsidRDefault="00943A2B" w:rsidP="00E66253">
            <w:pPr>
              <w:jc w:val="center"/>
            </w:pPr>
            <w:r>
              <w:t>18,5</w:t>
            </w:r>
          </w:p>
        </w:tc>
        <w:tc>
          <w:tcPr>
            <w:tcW w:w="567" w:type="dxa"/>
          </w:tcPr>
          <w:p w:rsidR="00943A2B" w:rsidRPr="00F26E86" w:rsidRDefault="00943A2B" w:rsidP="00E66253">
            <w:pPr>
              <w:jc w:val="center"/>
            </w:pPr>
            <w:r>
              <w:t>-</w:t>
            </w:r>
          </w:p>
        </w:tc>
        <w:tc>
          <w:tcPr>
            <w:tcW w:w="1276" w:type="dxa"/>
          </w:tcPr>
          <w:p w:rsidR="00943A2B" w:rsidRPr="00F26E86" w:rsidRDefault="00943A2B" w:rsidP="00E66253">
            <w:pPr>
              <w:jc w:val="center"/>
            </w:pPr>
            <w:r>
              <w:t>12</w:t>
            </w:r>
          </w:p>
        </w:tc>
      </w:tr>
      <w:tr w:rsidR="00943A2B" w:rsidTr="00E66253">
        <w:trPr>
          <w:cantSplit/>
          <w:trHeight w:val="255"/>
        </w:trPr>
        <w:tc>
          <w:tcPr>
            <w:tcW w:w="288" w:type="dxa"/>
          </w:tcPr>
          <w:p w:rsidR="00943A2B" w:rsidRDefault="00943A2B" w:rsidP="00E66253">
            <w:pPr>
              <w:jc w:val="center"/>
            </w:pPr>
            <w:r>
              <w:t>2</w:t>
            </w:r>
          </w:p>
        </w:tc>
        <w:tc>
          <w:tcPr>
            <w:tcW w:w="2127" w:type="dxa"/>
          </w:tcPr>
          <w:p w:rsidR="00943A2B" w:rsidRDefault="00943A2B" w:rsidP="00E66253">
            <w:pPr>
              <w:jc w:val="center"/>
            </w:pPr>
            <w:r>
              <w:t>Обласний бюджет</w:t>
            </w:r>
          </w:p>
        </w:tc>
        <w:tc>
          <w:tcPr>
            <w:tcW w:w="709" w:type="dxa"/>
          </w:tcPr>
          <w:p w:rsidR="00943A2B" w:rsidRDefault="00943A2B" w:rsidP="00E66253">
            <w:pPr>
              <w:jc w:val="center"/>
            </w:pPr>
            <w:r>
              <w:t>1,85</w:t>
            </w:r>
          </w:p>
        </w:tc>
        <w:tc>
          <w:tcPr>
            <w:tcW w:w="709" w:type="dxa"/>
          </w:tcPr>
          <w:p w:rsidR="00943A2B" w:rsidRPr="00CF5E6F" w:rsidRDefault="00943A2B" w:rsidP="00E66253">
            <w:pPr>
              <w:jc w:val="center"/>
              <w:rPr>
                <w:lang w:val="ru-RU"/>
              </w:rPr>
            </w:pPr>
            <w:r>
              <w:rPr>
                <w:lang w:val="ru-RU"/>
              </w:rPr>
              <w:t>0,2</w:t>
            </w:r>
          </w:p>
        </w:tc>
        <w:tc>
          <w:tcPr>
            <w:tcW w:w="708" w:type="dxa"/>
          </w:tcPr>
          <w:p w:rsidR="00943A2B" w:rsidRDefault="00943A2B" w:rsidP="00E66253">
            <w:pPr>
              <w:jc w:val="center"/>
            </w:pPr>
            <w:r>
              <w:t>2,0</w:t>
            </w:r>
          </w:p>
        </w:tc>
        <w:tc>
          <w:tcPr>
            <w:tcW w:w="709" w:type="dxa"/>
          </w:tcPr>
          <w:p w:rsidR="00943A2B" w:rsidRDefault="00943A2B" w:rsidP="00E66253">
            <w:pPr>
              <w:jc w:val="center"/>
            </w:pPr>
            <w:r>
              <w:t>0,8</w:t>
            </w:r>
          </w:p>
        </w:tc>
        <w:tc>
          <w:tcPr>
            <w:tcW w:w="567" w:type="dxa"/>
          </w:tcPr>
          <w:p w:rsidR="00943A2B" w:rsidRPr="000D4CD3" w:rsidRDefault="00943A2B" w:rsidP="00E66253">
            <w:pPr>
              <w:jc w:val="center"/>
            </w:pPr>
            <w:r>
              <w:t>2,15</w:t>
            </w:r>
          </w:p>
        </w:tc>
        <w:tc>
          <w:tcPr>
            <w:tcW w:w="567" w:type="dxa"/>
          </w:tcPr>
          <w:p w:rsidR="00943A2B" w:rsidRDefault="00943A2B" w:rsidP="00E66253">
            <w:pPr>
              <w:jc w:val="center"/>
            </w:pPr>
            <w:r>
              <w:t>0,02</w:t>
            </w:r>
          </w:p>
        </w:tc>
        <w:tc>
          <w:tcPr>
            <w:tcW w:w="567" w:type="dxa"/>
          </w:tcPr>
          <w:p w:rsidR="00943A2B" w:rsidRDefault="00943A2B" w:rsidP="00E66253">
            <w:pPr>
              <w:jc w:val="center"/>
            </w:pPr>
            <w:r>
              <w:t>3,0</w:t>
            </w:r>
          </w:p>
        </w:tc>
        <w:tc>
          <w:tcPr>
            <w:tcW w:w="567" w:type="dxa"/>
          </w:tcPr>
          <w:p w:rsidR="00943A2B" w:rsidRDefault="00943A2B" w:rsidP="00E66253">
            <w:pPr>
              <w:jc w:val="center"/>
            </w:pPr>
            <w:r>
              <w:t>0,5</w:t>
            </w:r>
          </w:p>
        </w:tc>
        <w:tc>
          <w:tcPr>
            <w:tcW w:w="567" w:type="dxa"/>
          </w:tcPr>
          <w:p w:rsidR="00943A2B" w:rsidRDefault="00943A2B" w:rsidP="00E66253">
            <w:pPr>
              <w:jc w:val="center"/>
            </w:pPr>
            <w:r>
              <w:t>3,0</w:t>
            </w:r>
          </w:p>
        </w:tc>
        <w:tc>
          <w:tcPr>
            <w:tcW w:w="567" w:type="dxa"/>
          </w:tcPr>
          <w:p w:rsidR="00943A2B" w:rsidRDefault="00943A2B" w:rsidP="00E66253">
            <w:pPr>
              <w:jc w:val="center"/>
            </w:pPr>
            <w:r>
              <w:t>0,63</w:t>
            </w:r>
          </w:p>
        </w:tc>
        <w:tc>
          <w:tcPr>
            <w:tcW w:w="1276" w:type="dxa"/>
          </w:tcPr>
          <w:p w:rsidR="00943A2B" w:rsidRDefault="00943A2B" w:rsidP="00E66253">
            <w:pPr>
              <w:jc w:val="center"/>
            </w:pPr>
            <w:r>
              <w:t>5</w:t>
            </w:r>
          </w:p>
        </w:tc>
      </w:tr>
      <w:tr w:rsidR="00943A2B" w:rsidRPr="003F4F33" w:rsidTr="00E66253">
        <w:trPr>
          <w:cantSplit/>
          <w:trHeight w:val="255"/>
        </w:trPr>
        <w:tc>
          <w:tcPr>
            <w:tcW w:w="288" w:type="dxa"/>
          </w:tcPr>
          <w:p w:rsidR="00943A2B" w:rsidRDefault="00943A2B" w:rsidP="00E66253">
            <w:pPr>
              <w:jc w:val="center"/>
              <w:rPr>
                <w:b/>
              </w:rPr>
            </w:pPr>
          </w:p>
          <w:p w:rsidR="00943A2B" w:rsidRPr="003F4F33" w:rsidRDefault="00943A2B" w:rsidP="00E66253">
            <w:pPr>
              <w:jc w:val="center"/>
              <w:rPr>
                <w:b/>
              </w:rPr>
            </w:pPr>
            <w:r w:rsidRPr="003F4F33">
              <w:rPr>
                <w:b/>
              </w:rPr>
              <w:t>3</w:t>
            </w:r>
          </w:p>
        </w:tc>
        <w:tc>
          <w:tcPr>
            <w:tcW w:w="2127" w:type="dxa"/>
          </w:tcPr>
          <w:p w:rsidR="00943A2B" w:rsidRDefault="00943A2B" w:rsidP="00E66253">
            <w:pPr>
              <w:jc w:val="center"/>
              <w:rPr>
                <w:b/>
              </w:rPr>
            </w:pPr>
          </w:p>
          <w:p w:rsidR="00943A2B" w:rsidRPr="003F4F33" w:rsidRDefault="00943A2B" w:rsidP="00E66253">
            <w:pPr>
              <w:jc w:val="center"/>
              <w:rPr>
                <w:b/>
              </w:rPr>
            </w:pPr>
            <w:r w:rsidRPr="003F4F33">
              <w:rPr>
                <w:b/>
              </w:rPr>
              <w:t>Міській бюджет</w:t>
            </w:r>
          </w:p>
        </w:tc>
        <w:tc>
          <w:tcPr>
            <w:tcW w:w="709" w:type="dxa"/>
          </w:tcPr>
          <w:p w:rsidR="00943A2B" w:rsidRDefault="00943A2B" w:rsidP="00E66253">
            <w:pPr>
              <w:jc w:val="center"/>
              <w:rPr>
                <w:b/>
              </w:rPr>
            </w:pPr>
          </w:p>
          <w:p w:rsidR="00943A2B" w:rsidRPr="003F4F33" w:rsidRDefault="00943A2B" w:rsidP="00E66253">
            <w:pPr>
              <w:jc w:val="center"/>
              <w:rPr>
                <w:b/>
              </w:rPr>
            </w:pPr>
            <w:r w:rsidRPr="003F4F33">
              <w:rPr>
                <w:b/>
              </w:rPr>
              <w:t>3,45</w:t>
            </w:r>
          </w:p>
        </w:tc>
        <w:tc>
          <w:tcPr>
            <w:tcW w:w="709" w:type="dxa"/>
          </w:tcPr>
          <w:p w:rsidR="00943A2B" w:rsidRDefault="00943A2B" w:rsidP="00E66253">
            <w:pPr>
              <w:jc w:val="center"/>
              <w:rPr>
                <w:b/>
              </w:rPr>
            </w:pPr>
          </w:p>
          <w:p w:rsidR="00943A2B" w:rsidRPr="003F4F33" w:rsidRDefault="00943A2B" w:rsidP="00E66253">
            <w:pPr>
              <w:jc w:val="center"/>
              <w:rPr>
                <w:b/>
              </w:rPr>
            </w:pPr>
            <w:r w:rsidRPr="003F4F33">
              <w:rPr>
                <w:b/>
              </w:rPr>
              <w:t>0,5</w:t>
            </w:r>
          </w:p>
        </w:tc>
        <w:tc>
          <w:tcPr>
            <w:tcW w:w="708" w:type="dxa"/>
          </w:tcPr>
          <w:p w:rsidR="00943A2B" w:rsidRDefault="00943A2B" w:rsidP="00E66253">
            <w:pPr>
              <w:jc w:val="center"/>
              <w:rPr>
                <w:b/>
              </w:rPr>
            </w:pPr>
          </w:p>
          <w:p w:rsidR="00943A2B" w:rsidRPr="003F4F33" w:rsidRDefault="00943A2B" w:rsidP="00E66253">
            <w:pPr>
              <w:jc w:val="center"/>
              <w:rPr>
                <w:b/>
              </w:rPr>
            </w:pPr>
            <w:r w:rsidRPr="003F4F33">
              <w:rPr>
                <w:b/>
              </w:rPr>
              <w:t>3,85</w:t>
            </w:r>
          </w:p>
        </w:tc>
        <w:tc>
          <w:tcPr>
            <w:tcW w:w="709" w:type="dxa"/>
          </w:tcPr>
          <w:p w:rsidR="00943A2B" w:rsidRDefault="00943A2B" w:rsidP="00E66253">
            <w:pPr>
              <w:jc w:val="center"/>
              <w:rPr>
                <w:b/>
              </w:rPr>
            </w:pPr>
          </w:p>
          <w:p w:rsidR="00943A2B" w:rsidRPr="003F4F33" w:rsidRDefault="00943A2B" w:rsidP="00E66253">
            <w:pPr>
              <w:jc w:val="center"/>
              <w:rPr>
                <w:b/>
              </w:rPr>
            </w:pPr>
            <w:r w:rsidRPr="003F4F33">
              <w:rPr>
                <w:b/>
              </w:rPr>
              <w:t>0,05</w:t>
            </w:r>
          </w:p>
        </w:tc>
        <w:tc>
          <w:tcPr>
            <w:tcW w:w="567" w:type="dxa"/>
          </w:tcPr>
          <w:p w:rsidR="00943A2B" w:rsidRDefault="00943A2B" w:rsidP="00E66253">
            <w:pPr>
              <w:jc w:val="center"/>
              <w:rPr>
                <w:b/>
              </w:rPr>
            </w:pPr>
          </w:p>
          <w:p w:rsidR="00943A2B" w:rsidRPr="003F4F33" w:rsidRDefault="00943A2B" w:rsidP="00E66253">
            <w:pPr>
              <w:jc w:val="center"/>
              <w:rPr>
                <w:b/>
              </w:rPr>
            </w:pPr>
            <w:r w:rsidRPr="003F4F33">
              <w:rPr>
                <w:b/>
              </w:rPr>
              <w:t>4,4</w:t>
            </w:r>
          </w:p>
        </w:tc>
        <w:tc>
          <w:tcPr>
            <w:tcW w:w="567" w:type="dxa"/>
          </w:tcPr>
          <w:p w:rsidR="00943A2B" w:rsidRDefault="00943A2B" w:rsidP="00E66253">
            <w:pPr>
              <w:jc w:val="center"/>
              <w:rPr>
                <w:b/>
              </w:rPr>
            </w:pPr>
          </w:p>
          <w:p w:rsidR="00943A2B" w:rsidRPr="003F4F33" w:rsidRDefault="00943A2B" w:rsidP="00E66253">
            <w:pPr>
              <w:jc w:val="center"/>
              <w:rPr>
                <w:b/>
              </w:rPr>
            </w:pPr>
            <w:r w:rsidRPr="003F4F33">
              <w:rPr>
                <w:b/>
              </w:rPr>
              <w:t>0,9</w:t>
            </w:r>
          </w:p>
        </w:tc>
        <w:tc>
          <w:tcPr>
            <w:tcW w:w="567" w:type="dxa"/>
          </w:tcPr>
          <w:p w:rsidR="00943A2B" w:rsidRDefault="00943A2B" w:rsidP="00E66253">
            <w:pPr>
              <w:jc w:val="center"/>
              <w:rPr>
                <w:b/>
              </w:rPr>
            </w:pPr>
          </w:p>
          <w:p w:rsidR="00943A2B" w:rsidRPr="003F4F33" w:rsidRDefault="00943A2B" w:rsidP="00E66253">
            <w:pPr>
              <w:jc w:val="center"/>
              <w:rPr>
                <w:b/>
              </w:rPr>
            </w:pPr>
            <w:r w:rsidRPr="003F4F33">
              <w:rPr>
                <w:b/>
              </w:rPr>
              <w:t>3,35</w:t>
            </w:r>
          </w:p>
        </w:tc>
        <w:tc>
          <w:tcPr>
            <w:tcW w:w="567" w:type="dxa"/>
          </w:tcPr>
          <w:p w:rsidR="00943A2B" w:rsidRDefault="00943A2B" w:rsidP="00E66253">
            <w:pPr>
              <w:jc w:val="center"/>
              <w:rPr>
                <w:b/>
              </w:rPr>
            </w:pPr>
          </w:p>
          <w:p w:rsidR="00943A2B" w:rsidRPr="003F4F33" w:rsidRDefault="00943A2B" w:rsidP="00E66253">
            <w:pPr>
              <w:jc w:val="center"/>
              <w:rPr>
                <w:b/>
              </w:rPr>
            </w:pPr>
            <w:r w:rsidRPr="003F4F33">
              <w:rPr>
                <w:b/>
              </w:rPr>
              <w:t>2,9</w:t>
            </w:r>
          </w:p>
        </w:tc>
        <w:tc>
          <w:tcPr>
            <w:tcW w:w="567" w:type="dxa"/>
          </w:tcPr>
          <w:p w:rsidR="00943A2B" w:rsidRDefault="00943A2B" w:rsidP="00E66253">
            <w:pPr>
              <w:jc w:val="center"/>
              <w:rPr>
                <w:b/>
              </w:rPr>
            </w:pPr>
          </w:p>
          <w:p w:rsidR="00943A2B" w:rsidRPr="003F4F33" w:rsidRDefault="00943A2B" w:rsidP="00E66253">
            <w:pPr>
              <w:jc w:val="center"/>
              <w:rPr>
                <w:b/>
              </w:rPr>
            </w:pPr>
            <w:r w:rsidRPr="003F4F33">
              <w:rPr>
                <w:b/>
              </w:rPr>
              <w:t>3,95</w:t>
            </w:r>
          </w:p>
        </w:tc>
        <w:tc>
          <w:tcPr>
            <w:tcW w:w="567" w:type="dxa"/>
          </w:tcPr>
          <w:p w:rsidR="00943A2B" w:rsidRDefault="00943A2B" w:rsidP="00E66253">
            <w:pPr>
              <w:jc w:val="center"/>
              <w:rPr>
                <w:b/>
              </w:rPr>
            </w:pPr>
          </w:p>
          <w:p w:rsidR="00943A2B" w:rsidRPr="003F4F33" w:rsidRDefault="00943A2B" w:rsidP="00E66253">
            <w:pPr>
              <w:jc w:val="center"/>
              <w:rPr>
                <w:b/>
              </w:rPr>
            </w:pPr>
            <w:r w:rsidRPr="003F4F33">
              <w:rPr>
                <w:b/>
              </w:rPr>
              <w:t>1,51</w:t>
            </w:r>
          </w:p>
        </w:tc>
        <w:tc>
          <w:tcPr>
            <w:tcW w:w="1276" w:type="dxa"/>
          </w:tcPr>
          <w:p w:rsidR="00943A2B" w:rsidRDefault="00943A2B" w:rsidP="00E66253">
            <w:pPr>
              <w:jc w:val="center"/>
              <w:rPr>
                <w:b/>
              </w:rPr>
            </w:pPr>
          </w:p>
          <w:p w:rsidR="00943A2B" w:rsidRPr="003F4F33" w:rsidRDefault="00943A2B" w:rsidP="00E66253">
            <w:pPr>
              <w:jc w:val="center"/>
              <w:rPr>
                <w:b/>
              </w:rPr>
            </w:pPr>
            <w:r w:rsidRPr="003F4F33">
              <w:rPr>
                <w:b/>
              </w:rPr>
              <w:t>11</w:t>
            </w:r>
          </w:p>
        </w:tc>
      </w:tr>
    </w:tbl>
    <w:p w:rsidR="00943A2B" w:rsidRDefault="00943A2B" w:rsidP="00943A2B">
      <w:pPr>
        <w:spacing w:line="100" w:lineRule="atLeast"/>
        <w:ind w:firstLine="709"/>
        <w:jc w:val="both"/>
        <w:rPr>
          <w:lang w:val="ru-RU"/>
        </w:rPr>
      </w:pPr>
    </w:p>
    <w:p w:rsidR="00943A2B" w:rsidRPr="003F4F33" w:rsidRDefault="00943A2B" w:rsidP="00943A2B">
      <w:pPr>
        <w:spacing w:line="100" w:lineRule="atLeast"/>
        <w:ind w:firstLine="709"/>
        <w:jc w:val="both"/>
        <w:rPr>
          <w:sz w:val="28"/>
          <w:szCs w:val="28"/>
        </w:rPr>
      </w:pPr>
      <w:r w:rsidRPr="003F4F33">
        <w:rPr>
          <w:sz w:val="28"/>
          <w:szCs w:val="28"/>
        </w:rPr>
        <w:t xml:space="preserve">Так, за період з 2013 по 2017 роки </w:t>
      </w:r>
      <w:r>
        <w:rPr>
          <w:sz w:val="28"/>
          <w:szCs w:val="28"/>
        </w:rPr>
        <w:t>у м. Чернівцях за участю</w:t>
      </w:r>
      <w:r w:rsidRPr="003F4F33">
        <w:rPr>
          <w:sz w:val="28"/>
          <w:szCs w:val="28"/>
        </w:rPr>
        <w:t xml:space="preserve"> житлових програм введено в експлуатацію </w:t>
      </w:r>
      <w:r w:rsidRPr="003F4F33">
        <w:rPr>
          <w:sz w:val="28"/>
          <w:szCs w:val="28"/>
          <w:lang w:val="ru-RU"/>
        </w:rPr>
        <w:t xml:space="preserve">11 </w:t>
      </w:r>
      <w:r w:rsidRPr="003F4F33">
        <w:rPr>
          <w:sz w:val="28"/>
          <w:szCs w:val="28"/>
        </w:rPr>
        <w:t xml:space="preserve">житлових будинків. </w:t>
      </w:r>
    </w:p>
    <w:p w:rsidR="00943A2B" w:rsidRPr="003F4F33" w:rsidRDefault="00943A2B" w:rsidP="00943A2B">
      <w:pPr>
        <w:spacing w:line="100" w:lineRule="atLeast"/>
        <w:ind w:firstLine="709"/>
        <w:jc w:val="both"/>
        <w:rPr>
          <w:sz w:val="28"/>
          <w:szCs w:val="28"/>
        </w:rPr>
      </w:pPr>
      <w:r w:rsidRPr="003F4F33">
        <w:rPr>
          <w:sz w:val="28"/>
          <w:szCs w:val="28"/>
        </w:rPr>
        <w:t xml:space="preserve">Загальна кількість квартир у введених будинках – 611, з яких 87 отримали учасники державних житлових програм – позичальники Чернівецького регіонального управління </w:t>
      </w:r>
      <w:proofErr w:type="spellStart"/>
      <w:r w:rsidRPr="003F4F33">
        <w:rPr>
          <w:sz w:val="28"/>
          <w:szCs w:val="28"/>
        </w:rPr>
        <w:t>Держмолодьжитла</w:t>
      </w:r>
      <w:proofErr w:type="spellEnd"/>
      <w:r w:rsidRPr="003F4F33">
        <w:rPr>
          <w:sz w:val="28"/>
          <w:szCs w:val="28"/>
        </w:rPr>
        <w:t xml:space="preserve">, загальна площа квартир у будинках – 42892 </w:t>
      </w:r>
      <w:proofErr w:type="spellStart"/>
      <w:r w:rsidRPr="003F4F33">
        <w:rPr>
          <w:sz w:val="28"/>
          <w:szCs w:val="28"/>
        </w:rPr>
        <w:t>кв.м</w:t>
      </w:r>
      <w:proofErr w:type="spellEnd"/>
      <w:r w:rsidRPr="003F4F33">
        <w:rPr>
          <w:sz w:val="28"/>
          <w:szCs w:val="28"/>
        </w:rPr>
        <w:t xml:space="preserve">., з яких 5887 </w:t>
      </w:r>
      <w:proofErr w:type="spellStart"/>
      <w:r w:rsidRPr="003F4F33">
        <w:rPr>
          <w:sz w:val="28"/>
          <w:szCs w:val="28"/>
        </w:rPr>
        <w:t>кв.м</w:t>
      </w:r>
      <w:proofErr w:type="spellEnd"/>
      <w:r w:rsidRPr="003F4F33">
        <w:rPr>
          <w:sz w:val="28"/>
          <w:szCs w:val="28"/>
        </w:rPr>
        <w:t xml:space="preserve">. отримали позичальники </w:t>
      </w:r>
      <w:proofErr w:type="spellStart"/>
      <w:r w:rsidRPr="003F4F33">
        <w:rPr>
          <w:sz w:val="28"/>
          <w:szCs w:val="28"/>
        </w:rPr>
        <w:t>Держмолодьжитла</w:t>
      </w:r>
      <w:proofErr w:type="spellEnd"/>
      <w:r w:rsidRPr="003F4F33">
        <w:rPr>
          <w:sz w:val="28"/>
          <w:szCs w:val="28"/>
        </w:rPr>
        <w:t xml:space="preserve">. </w:t>
      </w:r>
    </w:p>
    <w:p w:rsidR="00943A2B" w:rsidRPr="00B82063" w:rsidRDefault="00943A2B" w:rsidP="00943A2B">
      <w:pPr>
        <w:ind w:firstLine="708"/>
        <w:jc w:val="both"/>
        <w:rPr>
          <w:sz w:val="28"/>
          <w:szCs w:val="28"/>
        </w:rPr>
      </w:pPr>
      <w:r w:rsidRPr="00B82063">
        <w:rPr>
          <w:sz w:val="28"/>
          <w:szCs w:val="28"/>
        </w:rPr>
        <w:t>Постійно вивчається досвід забезпечення молоді житлом в інших містах, про що доводиться на постійно діючих семінарах Державного фонду</w:t>
      </w:r>
    </w:p>
    <w:p w:rsidR="00943A2B" w:rsidRPr="00B82063" w:rsidRDefault="00943A2B" w:rsidP="00943A2B">
      <w:pPr>
        <w:ind w:firstLine="708"/>
        <w:jc w:val="both"/>
        <w:rPr>
          <w:sz w:val="28"/>
          <w:szCs w:val="28"/>
        </w:rPr>
      </w:pPr>
      <w:r w:rsidRPr="00B82063">
        <w:rPr>
          <w:sz w:val="28"/>
          <w:szCs w:val="28"/>
        </w:rPr>
        <w:t xml:space="preserve">Разом з тим, не дивлячись на фінансування програми з міського та обласного бюджету (у 2016 році з державного бюджету кошти не виділялися), Чернівецьке регіональне відділення Фонду не в змозі забезпечити існуючу нині у місті потребу у кредитах. </w:t>
      </w:r>
    </w:p>
    <w:p w:rsidR="00943A2B" w:rsidRPr="00B82063" w:rsidRDefault="00943A2B" w:rsidP="00943A2B">
      <w:pPr>
        <w:ind w:firstLine="708"/>
        <w:jc w:val="both"/>
        <w:rPr>
          <w:sz w:val="28"/>
          <w:szCs w:val="28"/>
        </w:rPr>
      </w:pPr>
      <w:r w:rsidRPr="00B82063">
        <w:rPr>
          <w:sz w:val="28"/>
          <w:szCs w:val="28"/>
        </w:rPr>
        <w:t>Проблемою також залишається тенденція низького рівня економічної доступності житла для молоді. Пільговий довготерміновий кредит покриває лише від половини до двох третин фактичної вартості житла.</w:t>
      </w:r>
    </w:p>
    <w:p w:rsidR="00943A2B" w:rsidRPr="00B82063" w:rsidRDefault="00943A2B" w:rsidP="00943A2B">
      <w:pPr>
        <w:rPr>
          <w:sz w:val="28"/>
          <w:szCs w:val="28"/>
        </w:rPr>
      </w:pPr>
    </w:p>
    <w:p w:rsidR="00943A2B" w:rsidRDefault="00943A2B" w:rsidP="00943A2B"/>
    <w:p w:rsidR="00943A2B" w:rsidRDefault="00943A2B" w:rsidP="00943A2B"/>
    <w:p w:rsidR="00943A2B" w:rsidRPr="00B82063" w:rsidRDefault="00943A2B" w:rsidP="00943A2B">
      <w:pPr>
        <w:rPr>
          <w:b/>
          <w:sz w:val="28"/>
          <w:szCs w:val="28"/>
        </w:rPr>
      </w:pPr>
      <w:r w:rsidRPr="00B82063">
        <w:rPr>
          <w:b/>
          <w:sz w:val="28"/>
          <w:szCs w:val="28"/>
        </w:rPr>
        <w:t xml:space="preserve">Секретар Чернівецької міської ради </w:t>
      </w:r>
      <w:r>
        <w:rPr>
          <w:b/>
          <w:sz w:val="28"/>
          <w:szCs w:val="28"/>
        </w:rPr>
        <w:tab/>
      </w:r>
      <w:r>
        <w:rPr>
          <w:b/>
          <w:sz w:val="28"/>
          <w:szCs w:val="28"/>
        </w:rPr>
        <w:tab/>
      </w:r>
      <w:r>
        <w:rPr>
          <w:b/>
          <w:sz w:val="28"/>
          <w:szCs w:val="28"/>
        </w:rPr>
        <w:tab/>
      </w:r>
      <w:r>
        <w:rPr>
          <w:b/>
          <w:sz w:val="28"/>
          <w:szCs w:val="28"/>
        </w:rPr>
        <w:tab/>
      </w:r>
      <w:r>
        <w:rPr>
          <w:b/>
          <w:sz w:val="28"/>
          <w:szCs w:val="28"/>
        </w:rPr>
        <w:tab/>
      </w:r>
      <w:proofErr w:type="spellStart"/>
      <w:r>
        <w:rPr>
          <w:b/>
          <w:sz w:val="28"/>
          <w:szCs w:val="28"/>
        </w:rPr>
        <w:t>В.Продан</w:t>
      </w:r>
      <w:proofErr w:type="spellEnd"/>
      <w:r>
        <w:rPr>
          <w:b/>
          <w:sz w:val="28"/>
          <w:szCs w:val="28"/>
        </w:rPr>
        <w:t xml:space="preserve"> </w:t>
      </w:r>
    </w:p>
    <w:p w:rsidR="000B227C" w:rsidRDefault="000B227C" w:rsidP="009D05E3">
      <w:pPr>
        <w:tabs>
          <w:tab w:val="left" w:pos="0"/>
        </w:tabs>
        <w:spacing w:line="264" w:lineRule="auto"/>
        <w:rPr>
          <w:b/>
          <w:sz w:val="28"/>
          <w:szCs w:val="28"/>
        </w:rPr>
      </w:pPr>
      <w:bookmarkStart w:id="0" w:name="_GoBack"/>
      <w:bookmarkEnd w:id="0"/>
    </w:p>
    <w:sectPr w:rsidR="000B227C" w:rsidSect="00CD77EE">
      <w:headerReference w:type="even" r:id="rId8"/>
      <w:headerReference w:type="default" r:id="rId9"/>
      <w:pgSz w:w="11906" w:h="16838"/>
      <w:pgMar w:top="899" w:right="851" w:bottom="143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22E" w:rsidRDefault="0025322E">
      <w:r>
        <w:separator/>
      </w:r>
    </w:p>
  </w:endnote>
  <w:endnote w:type="continuationSeparator" w:id="0">
    <w:p w:rsidR="0025322E" w:rsidRDefault="00253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22E" w:rsidRDefault="0025322E">
      <w:r>
        <w:separator/>
      </w:r>
    </w:p>
  </w:footnote>
  <w:footnote w:type="continuationSeparator" w:id="0">
    <w:p w:rsidR="0025322E" w:rsidRDefault="002532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899" w:rsidRDefault="00FA2899" w:rsidP="00287F4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A2899" w:rsidRDefault="00FA2899">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899" w:rsidRDefault="00FA2899" w:rsidP="00EA6759">
    <w:pPr>
      <w:pStyle w:val="a5"/>
      <w:framePr w:wrap="around" w:vAnchor="text" w:hAnchor="margin" w:xAlign="center" w:y="1"/>
      <w:rPr>
        <w:rStyle w:val="a6"/>
      </w:rPr>
    </w:pPr>
  </w:p>
  <w:p w:rsidR="00FA2899" w:rsidRDefault="00FA2899" w:rsidP="00EA6759">
    <w:pPr>
      <w:pStyle w:val="a5"/>
      <w:framePr w:wrap="around" w:vAnchor="text" w:hAnchor="margin" w:xAlign="center" w:y="1"/>
      <w:rPr>
        <w:rStyle w:val="a6"/>
      </w:rPr>
    </w:pPr>
  </w:p>
  <w:p w:rsidR="00FA2899" w:rsidRDefault="00FA2899" w:rsidP="00E55B84">
    <w:pPr>
      <w:pStyle w:val="a5"/>
      <w:framePr w:wrap="around" w:vAnchor="text" w:hAnchor="margin" w:xAlign="center" w:y="1"/>
      <w:rPr>
        <w:rStyle w:val="a6"/>
      </w:rPr>
    </w:pPr>
  </w:p>
  <w:p w:rsidR="00FA2899" w:rsidRDefault="00FA2899">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95B5A"/>
    <w:multiLevelType w:val="hybridMultilevel"/>
    <w:tmpl w:val="982E92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D30739C"/>
    <w:multiLevelType w:val="hybridMultilevel"/>
    <w:tmpl w:val="63DEC67E"/>
    <w:lvl w:ilvl="0" w:tplc="8CE0CFF2">
      <w:start w:val="1"/>
      <w:numFmt w:val="decimal"/>
      <w:lvlText w:val="%1."/>
      <w:lvlJc w:val="left"/>
      <w:pPr>
        <w:tabs>
          <w:tab w:val="num" w:pos="1680"/>
        </w:tabs>
        <w:ind w:left="1680" w:hanging="360"/>
      </w:pPr>
      <w:rPr>
        <w:b/>
      </w:rPr>
    </w:lvl>
    <w:lvl w:ilvl="1" w:tplc="04190019" w:tentative="1">
      <w:start w:val="1"/>
      <w:numFmt w:val="lowerLetter"/>
      <w:lvlText w:val="%2."/>
      <w:lvlJc w:val="left"/>
      <w:pPr>
        <w:tabs>
          <w:tab w:val="num" w:pos="2400"/>
        </w:tabs>
        <w:ind w:left="2400" w:hanging="360"/>
      </w:pPr>
    </w:lvl>
    <w:lvl w:ilvl="2" w:tplc="0419001B" w:tentative="1">
      <w:start w:val="1"/>
      <w:numFmt w:val="lowerRoman"/>
      <w:lvlText w:val="%3."/>
      <w:lvlJc w:val="right"/>
      <w:pPr>
        <w:tabs>
          <w:tab w:val="num" w:pos="3120"/>
        </w:tabs>
        <w:ind w:left="3120" w:hanging="180"/>
      </w:pPr>
    </w:lvl>
    <w:lvl w:ilvl="3" w:tplc="0419000F" w:tentative="1">
      <w:start w:val="1"/>
      <w:numFmt w:val="decimal"/>
      <w:lvlText w:val="%4."/>
      <w:lvlJc w:val="left"/>
      <w:pPr>
        <w:tabs>
          <w:tab w:val="num" w:pos="3840"/>
        </w:tabs>
        <w:ind w:left="3840" w:hanging="360"/>
      </w:pPr>
    </w:lvl>
    <w:lvl w:ilvl="4" w:tplc="04190019" w:tentative="1">
      <w:start w:val="1"/>
      <w:numFmt w:val="lowerLetter"/>
      <w:lvlText w:val="%5."/>
      <w:lvlJc w:val="left"/>
      <w:pPr>
        <w:tabs>
          <w:tab w:val="num" w:pos="4560"/>
        </w:tabs>
        <w:ind w:left="4560" w:hanging="360"/>
      </w:pPr>
    </w:lvl>
    <w:lvl w:ilvl="5" w:tplc="0419001B" w:tentative="1">
      <w:start w:val="1"/>
      <w:numFmt w:val="lowerRoman"/>
      <w:lvlText w:val="%6."/>
      <w:lvlJc w:val="right"/>
      <w:pPr>
        <w:tabs>
          <w:tab w:val="num" w:pos="5280"/>
        </w:tabs>
        <w:ind w:left="5280" w:hanging="180"/>
      </w:pPr>
    </w:lvl>
    <w:lvl w:ilvl="6" w:tplc="0419000F" w:tentative="1">
      <w:start w:val="1"/>
      <w:numFmt w:val="decimal"/>
      <w:lvlText w:val="%7."/>
      <w:lvlJc w:val="left"/>
      <w:pPr>
        <w:tabs>
          <w:tab w:val="num" w:pos="6000"/>
        </w:tabs>
        <w:ind w:left="6000" w:hanging="360"/>
      </w:pPr>
    </w:lvl>
    <w:lvl w:ilvl="7" w:tplc="04190019" w:tentative="1">
      <w:start w:val="1"/>
      <w:numFmt w:val="lowerLetter"/>
      <w:lvlText w:val="%8."/>
      <w:lvlJc w:val="left"/>
      <w:pPr>
        <w:tabs>
          <w:tab w:val="num" w:pos="6720"/>
        </w:tabs>
        <w:ind w:left="6720" w:hanging="360"/>
      </w:pPr>
    </w:lvl>
    <w:lvl w:ilvl="8" w:tplc="0419001B" w:tentative="1">
      <w:start w:val="1"/>
      <w:numFmt w:val="lowerRoman"/>
      <w:lvlText w:val="%9."/>
      <w:lvlJc w:val="right"/>
      <w:pPr>
        <w:tabs>
          <w:tab w:val="num" w:pos="7440"/>
        </w:tabs>
        <w:ind w:left="7440" w:hanging="180"/>
      </w:pPr>
    </w:lvl>
  </w:abstractNum>
  <w:abstractNum w:abstractNumId="2" w15:restartNumberingAfterBreak="0">
    <w:nsid w:val="48F2381B"/>
    <w:multiLevelType w:val="singleLevel"/>
    <w:tmpl w:val="A6A82022"/>
    <w:lvl w:ilvl="0">
      <w:start w:val="1"/>
      <w:numFmt w:val="decimal"/>
      <w:lvlText w:val="%1."/>
      <w:lvlJc w:val="left"/>
      <w:pPr>
        <w:tabs>
          <w:tab w:val="num" w:pos="1800"/>
        </w:tabs>
        <w:ind w:left="1800" w:hanging="360"/>
      </w:pPr>
      <w:rPr>
        <w:rFonts w:ascii="Times New Roman" w:eastAsia="Times New Roman" w:hAnsi="Times New Roman"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A66"/>
    <w:rsid w:val="00000E0B"/>
    <w:rsid w:val="000015A4"/>
    <w:rsid w:val="00012EA8"/>
    <w:rsid w:val="00014068"/>
    <w:rsid w:val="00024488"/>
    <w:rsid w:val="00031758"/>
    <w:rsid w:val="00034FD3"/>
    <w:rsid w:val="00037275"/>
    <w:rsid w:val="00042213"/>
    <w:rsid w:val="000454CE"/>
    <w:rsid w:val="000518C5"/>
    <w:rsid w:val="00056AAD"/>
    <w:rsid w:val="00056D84"/>
    <w:rsid w:val="00062CBD"/>
    <w:rsid w:val="00072E1B"/>
    <w:rsid w:val="0007396A"/>
    <w:rsid w:val="00073B60"/>
    <w:rsid w:val="000743BF"/>
    <w:rsid w:val="000761A6"/>
    <w:rsid w:val="0007627E"/>
    <w:rsid w:val="00081BD4"/>
    <w:rsid w:val="00085DCC"/>
    <w:rsid w:val="000A0599"/>
    <w:rsid w:val="000A0792"/>
    <w:rsid w:val="000A30ED"/>
    <w:rsid w:val="000B16AF"/>
    <w:rsid w:val="000B227C"/>
    <w:rsid w:val="000C6848"/>
    <w:rsid w:val="000C6AD1"/>
    <w:rsid w:val="000D172C"/>
    <w:rsid w:val="000D1F0E"/>
    <w:rsid w:val="000E61DE"/>
    <w:rsid w:val="000E6DEB"/>
    <w:rsid w:val="000E7624"/>
    <w:rsid w:val="000F2DC0"/>
    <w:rsid w:val="0010195C"/>
    <w:rsid w:val="00101A3F"/>
    <w:rsid w:val="00115C54"/>
    <w:rsid w:val="00115C89"/>
    <w:rsid w:val="00120744"/>
    <w:rsid w:val="00121B3F"/>
    <w:rsid w:val="001226F6"/>
    <w:rsid w:val="00135042"/>
    <w:rsid w:val="00145281"/>
    <w:rsid w:val="00145E68"/>
    <w:rsid w:val="00155F4A"/>
    <w:rsid w:val="00165649"/>
    <w:rsid w:val="00170FBA"/>
    <w:rsid w:val="00171E71"/>
    <w:rsid w:val="00172436"/>
    <w:rsid w:val="0018161B"/>
    <w:rsid w:val="0018291B"/>
    <w:rsid w:val="00184512"/>
    <w:rsid w:val="00186152"/>
    <w:rsid w:val="0018648D"/>
    <w:rsid w:val="001877F2"/>
    <w:rsid w:val="00187E55"/>
    <w:rsid w:val="00191B89"/>
    <w:rsid w:val="001935EA"/>
    <w:rsid w:val="00194430"/>
    <w:rsid w:val="001A2721"/>
    <w:rsid w:val="001A4260"/>
    <w:rsid w:val="001A5FC1"/>
    <w:rsid w:val="001B7F56"/>
    <w:rsid w:val="001C6776"/>
    <w:rsid w:val="001D6FD0"/>
    <w:rsid w:val="001D70AA"/>
    <w:rsid w:val="001E30E1"/>
    <w:rsid w:val="001E44AB"/>
    <w:rsid w:val="001E4657"/>
    <w:rsid w:val="001E6296"/>
    <w:rsid w:val="001F21DF"/>
    <w:rsid w:val="001F232F"/>
    <w:rsid w:val="001F516F"/>
    <w:rsid w:val="001F7DBC"/>
    <w:rsid w:val="0020095C"/>
    <w:rsid w:val="002015AC"/>
    <w:rsid w:val="00203C25"/>
    <w:rsid w:val="00205630"/>
    <w:rsid w:val="00212F8E"/>
    <w:rsid w:val="0023087A"/>
    <w:rsid w:val="0023333E"/>
    <w:rsid w:val="00233DC4"/>
    <w:rsid w:val="00234CF1"/>
    <w:rsid w:val="00240631"/>
    <w:rsid w:val="0024070F"/>
    <w:rsid w:val="00251FBA"/>
    <w:rsid w:val="0025322E"/>
    <w:rsid w:val="00263DD3"/>
    <w:rsid w:val="002768C7"/>
    <w:rsid w:val="0027701C"/>
    <w:rsid w:val="00286A4B"/>
    <w:rsid w:val="00287F41"/>
    <w:rsid w:val="00287FBC"/>
    <w:rsid w:val="00292876"/>
    <w:rsid w:val="00293B72"/>
    <w:rsid w:val="00294276"/>
    <w:rsid w:val="002A317B"/>
    <w:rsid w:val="002B3C40"/>
    <w:rsid w:val="002C6D67"/>
    <w:rsid w:val="002C7077"/>
    <w:rsid w:val="002D0097"/>
    <w:rsid w:val="002D6E23"/>
    <w:rsid w:val="002E05FA"/>
    <w:rsid w:val="002E6731"/>
    <w:rsid w:val="002E7194"/>
    <w:rsid w:val="002E7EBD"/>
    <w:rsid w:val="002F113E"/>
    <w:rsid w:val="002F7E35"/>
    <w:rsid w:val="00306F0E"/>
    <w:rsid w:val="003076DF"/>
    <w:rsid w:val="00311702"/>
    <w:rsid w:val="00334612"/>
    <w:rsid w:val="003456BA"/>
    <w:rsid w:val="00345FB9"/>
    <w:rsid w:val="00347A47"/>
    <w:rsid w:val="00363F01"/>
    <w:rsid w:val="00363FED"/>
    <w:rsid w:val="003712DB"/>
    <w:rsid w:val="00381866"/>
    <w:rsid w:val="00386076"/>
    <w:rsid w:val="00390560"/>
    <w:rsid w:val="003930CC"/>
    <w:rsid w:val="003B26C9"/>
    <w:rsid w:val="003B37E7"/>
    <w:rsid w:val="003B4B92"/>
    <w:rsid w:val="003B580B"/>
    <w:rsid w:val="003B6C71"/>
    <w:rsid w:val="003C6AC7"/>
    <w:rsid w:val="003C6C34"/>
    <w:rsid w:val="003C7625"/>
    <w:rsid w:val="003D016F"/>
    <w:rsid w:val="003F2180"/>
    <w:rsid w:val="003F34C5"/>
    <w:rsid w:val="003F4836"/>
    <w:rsid w:val="00400C11"/>
    <w:rsid w:val="00400F4F"/>
    <w:rsid w:val="00416C7F"/>
    <w:rsid w:val="00421C8D"/>
    <w:rsid w:val="0042297C"/>
    <w:rsid w:val="0042447A"/>
    <w:rsid w:val="004275F7"/>
    <w:rsid w:val="00433FE6"/>
    <w:rsid w:val="004352DA"/>
    <w:rsid w:val="00446004"/>
    <w:rsid w:val="004500B0"/>
    <w:rsid w:val="00463178"/>
    <w:rsid w:val="00465C99"/>
    <w:rsid w:val="004672B8"/>
    <w:rsid w:val="00473A7C"/>
    <w:rsid w:val="004749DB"/>
    <w:rsid w:val="00483504"/>
    <w:rsid w:val="00484110"/>
    <w:rsid w:val="004852E3"/>
    <w:rsid w:val="00487A3B"/>
    <w:rsid w:val="004A15C7"/>
    <w:rsid w:val="004A4CE9"/>
    <w:rsid w:val="004A4F61"/>
    <w:rsid w:val="004B33F9"/>
    <w:rsid w:val="004C1184"/>
    <w:rsid w:val="004C4862"/>
    <w:rsid w:val="004C7841"/>
    <w:rsid w:val="004C7AFF"/>
    <w:rsid w:val="004D1ED1"/>
    <w:rsid w:val="004D1FB9"/>
    <w:rsid w:val="004D4E7F"/>
    <w:rsid w:val="004E10C5"/>
    <w:rsid w:val="004E5976"/>
    <w:rsid w:val="004F64F5"/>
    <w:rsid w:val="005031AE"/>
    <w:rsid w:val="0050366E"/>
    <w:rsid w:val="00505CCF"/>
    <w:rsid w:val="00505E3D"/>
    <w:rsid w:val="005240A4"/>
    <w:rsid w:val="0052520C"/>
    <w:rsid w:val="00526528"/>
    <w:rsid w:val="0054603E"/>
    <w:rsid w:val="00550D65"/>
    <w:rsid w:val="0056068E"/>
    <w:rsid w:val="00561C2B"/>
    <w:rsid w:val="005651C0"/>
    <w:rsid w:val="005669DF"/>
    <w:rsid w:val="00572FC7"/>
    <w:rsid w:val="00573EC6"/>
    <w:rsid w:val="00575676"/>
    <w:rsid w:val="005759A1"/>
    <w:rsid w:val="00580FC5"/>
    <w:rsid w:val="0059516C"/>
    <w:rsid w:val="00596267"/>
    <w:rsid w:val="005A198A"/>
    <w:rsid w:val="005B2BEC"/>
    <w:rsid w:val="005C0E59"/>
    <w:rsid w:val="005C642A"/>
    <w:rsid w:val="005C699C"/>
    <w:rsid w:val="005D62CB"/>
    <w:rsid w:val="005E08CF"/>
    <w:rsid w:val="005E0C63"/>
    <w:rsid w:val="005E62D6"/>
    <w:rsid w:val="0060796C"/>
    <w:rsid w:val="00614B69"/>
    <w:rsid w:val="006250BA"/>
    <w:rsid w:val="006265B6"/>
    <w:rsid w:val="00626900"/>
    <w:rsid w:val="00630AB2"/>
    <w:rsid w:val="00630AC6"/>
    <w:rsid w:val="0063638F"/>
    <w:rsid w:val="00641E3E"/>
    <w:rsid w:val="00645C72"/>
    <w:rsid w:val="00646D17"/>
    <w:rsid w:val="006553F6"/>
    <w:rsid w:val="00657CAE"/>
    <w:rsid w:val="00674698"/>
    <w:rsid w:val="006906DB"/>
    <w:rsid w:val="006923FE"/>
    <w:rsid w:val="0069715F"/>
    <w:rsid w:val="006A115A"/>
    <w:rsid w:val="006A533B"/>
    <w:rsid w:val="006B098D"/>
    <w:rsid w:val="006B11BB"/>
    <w:rsid w:val="006C0534"/>
    <w:rsid w:val="006D3AE2"/>
    <w:rsid w:val="006F4626"/>
    <w:rsid w:val="006F54FE"/>
    <w:rsid w:val="00705147"/>
    <w:rsid w:val="0071301B"/>
    <w:rsid w:val="00714107"/>
    <w:rsid w:val="0071509F"/>
    <w:rsid w:val="00716421"/>
    <w:rsid w:val="00720E84"/>
    <w:rsid w:val="00726411"/>
    <w:rsid w:val="00733808"/>
    <w:rsid w:val="00736421"/>
    <w:rsid w:val="00742514"/>
    <w:rsid w:val="00742713"/>
    <w:rsid w:val="00743DAA"/>
    <w:rsid w:val="0075264A"/>
    <w:rsid w:val="00775D0C"/>
    <w:rsid w:val="00784559"/>
    <w:rsid w:val="007854E7"/>
    <w:rsid w:val="00792167"/>
    <w:rsid w:val="00797CA0"/>
    <w:rsid w:val="00797D17"/>
    <w:rsid w:val="007B22EB"/>
    <w:rsid w:val="007C00C9"/>
    <w:rsid w:val="007C6A3C"/>
    <w:rsid w:val="007D07FC"/>
    <w:rsid w:val="007D3020"/>
    <w:rsid w:val="007D4F5B"/>
    <w:rsid w:val="007D7046"/>
    <w:rsid w:val="007E2D50"/>
    <w:rsid w:val="007E34E8"/>
    <w:rsid w:val="007F4338"/>
    <w:rsid w:val="007F4F25"/>
    <w:rsid w:val="00802D83"/>
    <w:rsid w:val="008038F8"/>
    <w:rsid w:val="0081229F"/>
    <w:rsid w:val="0082308A"/>
    <w:rsid w:val="00827E3D"/>
    <w:rsid w:val="00830391"/>
    <w:rsid w:val="00831403"/>
    <w:rsid w:val="0083160C"/>
    <w:rsid w:val="008373B7"/>
    <w:rsid w:val="00842CB1"/>
    <w:rsid w:val="0085186D"/>
    <w:rsid w:val="008562C3"/>
    <w:rsid w:val="00864D33"/>
    <w:rsid w:val="00867C9A"/>
    <w:rsid w:val="008847F8"/>
    <w:rsid w:val="00885116"/>
    <w:rsid w:val="0088742B"/>
    <w:rsid w:val="00890710"/>
    <w:rsid w:val="00895A66"/>
    <w:rsid w:val="00897D20"/>
    <w:rsid w:val="008A1879"/>
    <w:rsid w:val="008A1BED"/>
    <w:rsid w:val="008A1F27"/>
    <w:rsid w:val="008A2F20"/>
    <w:rsid w:val="008C7E30"/>
    <w:rsid w:val="008D1653"/>
    <w:rsid w:val="008E7348"/>
    <w:rsid w:val="008F03C4"/>
    <w:rsid w:val="008F7A93"/>
    <w:rsid w:val="00906D56"/>
    <w:rsid w:val="00907EB4"/>
    <w:rsid w:val="009153B2"/>
    <w:rsid w:val="0093113D"/>
    <w:rsid w:val="009329CF"/>
    <w:rsid w:val="009332E2"/>
    <w:rsid w:val="009371C1"/>
    <w:rsid w:val="00942EFB"/>
    <w:rsid w:val="00943A2B"/>
    <w:rsid w:val="00950FB8"/>
    <w:rsid w:val="00954EA7"/>
    <w:rsid w:val="009561C3"/>
    <w:rsid w:val="00962280"/>
    <w:rsid w:val="00967266"/>
    <w:rsid w:val="009759CF"/>
    <w:rsid w:val="00985E4B"/>
    <w:rsid w:val="00987EAE"/>
    <w:rsid w:val="0099325C"/>
    <w:rsid w:val="00993338"/>
    <w:rsid w:val="009A27AA"/>
    <w:rsid w:val="009B3F20"/>
    <w:rsid w:val="009B4D79"/>
    <w:rsid w:val="009C2146"/>
    <w:rsid w:val="009C4071"/>
    <w:rsid w:val="009C6112"/>
    <w:rsid w:val="009C7B4B"/>
    <w:rsid w:val="009D05E3"/>
    <w:rsid w:val="009D2B71"/>
    <w:rsid w:val="009E5BF5"/>
    <w:rsid w:val="009F1490"/>
    <w:rsid w:val="009F17C4"/>
    <w:rsid w:val="009F7748"/>
    <w:rsid w:val="00A0084E"/>
    <w:rsid w:val="00A074A9"/>
    <w:rsid w:val="00A10533"/>
    <w:rsid w:val="00A1108B"/>
    <w:rsid w:val="00A309EE"/>
    <w:rsid w:val="00A3112C"/>
    <w:rsid w:val="00A56860"/>
    <w:rsid w:val="00A61088"/>
    <w:rsid w:val="00A6398B"/>
    <w:rsid w:val="00A63BAA"/>
    <w:rsid w:val="00A71A43"/>
    <w:rsid w:val="00A72FF6"/>
    <w:rsid w:val="00A865C3"/>
    <w:rsid w:val="00AA154B"/>
    <w:rsid w:val="00AA27D8"/>
    <w:rsid w:val="00AA748E"/>
    <w:rsid w:val="00AB4C31"/>
    <w:rsid w:val="00AB64FD"/>
    <w:rsid w:val="00AB70C0"/>
    <w:rsid w:val="00AC2E45"/>
    <w:rsid w:val="00AD67E9"/>
    <w:rsid w:val="00AE013C"/>
    <w:rsid w:val="00AF10AC"/>
    <w:rsid w:val="00AF2530"/>
    <w:rsid w:val="00AF6518"/>
    <w:rsid w:val="00B100ED"/>
    <w:rsid w:val="00B119F6"/>
    <w:rsid w:val="00B14BC8"/>
    <w:rsid w:val="00B22F7D"/>
    <w:rsid w:val="00B23FDB"/>
    <w:rsid w:val="00B40CE8"/>
    <w:rsid w:val="00B419BA"/>
    <w:rsid w:val="00B43E01"/>
    <w:rsid w:val="00B606DD"/>
    <w:rsid w:val="00B67EAA"/>
    <w:rsid w:val="00B83906"/>
    <w:rsid w:val="00BE45B9"/>
    <w:rsid w:val="00BE5BCF"/>
    <w:rsid w:val="00BF469D"/>
    <w:rsid w:val="00BF6745"/>
    <w:rsid w:val="00C00620"/>
    <w:rsid w:val="00C02EC9"/>
    <w:rsid w:val="00C07D48"/>
    <w:rsid w:val="00C10E4B"/>
    <w:rsid w:val="00C118B4"/>
    <w:rsid w:val="00C126BF"/>
    <w:rsid w:val="00C15DAB"/>
    <w:rsid w:val="00C15EA1"/>
    <w:rsid w:val="00C17AA3"/>
    <w:rsid w:val="00C341D1"/>
    <w:rsid w:val="00C4055B"/>
    <w:rsid w:val="00C42E3F"/>
    <w:rsid w:val="00C5087C"/>
    <w:rsid w:val="00C8071A"/>
    <w:rsid w:val="00C80FF2"/>
    <w:rsid w:val="00C81D9D"/>
    <w:rsid w:val="00C83514"/>
    <w:rsid w:val="00C85592"/>
    <w:rsid w:val="00C871A3"/>
    <w:rsid w:val="00C875B0"/>
    <w:rsid w:val="00C962A6"/>
    <w:rsid w:val="00CA61F3"/>
    <w:rsid w:val="00CA6C51"/>
    <w:rsid w:val="00CD0D88"/>
    <w:rsid w:val="00CD2FAC"/>
    <w:rsid w:val="00CD582E"/>
    <w:rsid w:val="00CD77EE"/>
    <w:rsid w:val="00CD7EF8"/>
    <w:rsid w:val="00CF5BE2"/>
    <w:rsid w:val="00D05B36"/>
    <w:rsid w:val="00D42562"/>
    <w:rsid w:val="00D66ADE"/>
    <w:rsid w:val="00D74E55"/>
    <w:rsid w:val="00D77AD9"/>
    <w:rsid w:val="00D95248"/>
    <w:rsid w:val="00D973B1"/>
    <w:rsid w:val="00D97EEA"/>
    <w:rsid w:val="00DA4713"/>
    <w:rsid w:val="00DB06DA"/>
    <w:rsid w:val="00DC0295"/>
    <w:rsid w:val="00DC0705"/>
    <w:rsid w:val="00DD01FE"/>
    <w:rsid w:val="00DD3EC5"/>
    <w:rsid w:val="00DE2154"/>
    <w:rsid w:val="00DE3454"/>
    <w:rsid w:val="00DE6CF3"/>
    <w:rsid w:val="00DE71AE"/>
    <w:rsid w:val="00DE75F9"/>
    <w:rsid w:val="00DF43D2"/>
    <w:rsid w:val="00DF45A0"/>
    <w:rsid w:val="00E006D4"/>
    <w:rsid w:val="00E02967"/>
    <w:rsid w:val="00E2143F"/>
    <w:rsid w:val="00E27C3F"/>
    <w:rsid w:val="00E34323"/>
    <w:rsid w:val="00E34BD6"/>
    <w:rsid w:val="00E37520"/>
    <w:rsid w:val="00E4269C"/>
    <w:rsid w:val="00E44923"/>
    <w:rsid w:val="00E50D3D"/>
    <w:rsid w:val="00E53D31"/>
    <w:rsid w:val="00E55B84"/>
    <w:rsid w:val="00E56ED7"/>
    <w:rsid w:val="00E57518"/>
    <w:rsid w:val="00E668E4"/>
    <w:rsid w:val="00E66F30"/>
    <w:rsid w:val="00E67F8D"/>
    <w:rsid w:val="00E7428B"/>
    <w:rsid w:val="00E7510A"/>
    <w:rsid w:val="00E754C2"/>
    <w:rsid w:val="00E7795E"/>
    <w:rsid w:val="00E92DE8"/>
    <w:rsid w:val="00E93660"/>
    <w:rsid w:val="00E937A7"/>
    <w:rsid w:val="00E97167"/>
    <w:rsid w:val="00EA5115"/>
    <w:rsid w:val="00EA6759"/>
    <w:rsid w:val="00EA6824"/>
    <w:rsid w:val="00EB783A"/>
    <w:rsid w:val="00EC117F"/>
    <w:rsid w:val="00ED6A8D"/>
    <w:rsid w:val="00EE2BFE"/>
    <w:rsid w:val="00EE679B"/>
    <w:rsid w:val="00EF129D"/>
    <w:rsid w:val="00EF5604"/>
    <w:rsid w:val="00F256FC"/>
    <w:rsid w:val="00F31E2E"/>
    <w:rsid w:val="00F411DC"/>
    <w:rsid w:val="00F429FF"/>
    <w:rsid w:val="00F42DF8"/>
    <w:rsid w:val="00F452AC"/>
    <w:rsid w:val="00F46A96"/>
    <w:rsid w:val="00F539E5"/>
    <w:rsid w:val="00F54717"/>
    <w:rsid w:val="00F5750D"/>
    <w:rsid w:val="00F60D46"/>
    <w:rsid w:val="00F6128E"/>
    <w:rsid w:val="00F631DF"/>
    <w:rsid w:val="00F6769D"/>
    <w:rsid w:val="00F748A1"/>
    <w:rsid w:val="00F767F5"/>
    <w:rsid w:val="00F877CA"/>
    <w:rsid w:val="00F87E7D"/>
    <w:rsid w:val="00F95BD9"/>
    <w:rsid w:val="00FA1282"/>
    <w:rsid w:val="00FA2899"/>
    <w:rsid w:val="00FB1B45"/>
    <w:rsid w:val="00FB36C3"/>
    <w:rsid w:val="00FB5B7C"/>
    <w:rsid w:val="00FC0FDE"/>
    <w:rsid w:val="00FC49CE"/>
    <w:rsid w:val="00FC7403"/>
    <w:rsid w:val="00FD3997"/>
    <w:rsid w:val="00FE318A"/>
    <w:rsid w:val="00FE356D"/>
    <w:rsid w:val="00FF6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198BFBF-33E0-4B3C-A5EF-75B8E95EB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113E"/>
    <w:rPr>
      <w:lang w:val="uk-UA"/>
    </w:rPr>
  </w:style>
  <w:style w:type="paragraph" w:styleId="1">
    <w:name w:val="heading 1"/>
    <w:basedOn w:val="a"/>
    <w:next w:val="a"/>
    <w:qFormat/>
    <w:rsid w:val="00A72FF6"/>
    <w:pPr>
      <w:keepNext/>
      <w:outlineLvl w:val="0"/>
    </w:pPr>
    <w:rPr>
      <w:sz w:val="28"/>
    </w:rPr>
  </w:style>
  <w:style w:type="paragraph" w:styleId="2">
    <w:name w:val="heading 2"/>
    <w:basedOn w:val="a"/>
    <w:next w:val="a"/>
    <w:qFormat/>
    <w:rsid w:val="006906DB"/>
    <w:pPr>
      <w:keepNext/>
      <w:spacing w:before="240" w:after="60"/>
      <w:outlineLvl w:val="1"/>
    </w:pPr>
    <w:rPr>
      <w:rFonts w:ascii="Arial" w:hAnsi="Arial" w:cs="Arial"/>
      <w:b/>
      <w:bCs/>
      <w:i/>
      <w:iCs/>
      <w:sz w:val="28"/>
      <w:szCs w:val="28"/>
    </w:rPr>
  </w:style>
  <w:style w:type="paragraph" w:styleId="3">
    <w:name w:val="heading 3"/>
    <w:basedOn w:val="a"/>
    <w:next w:val="a"/>
    <w:qFormat/>
    <w:rsid w:val="00A72FF6"/>
    <w:pPr>
      <w:keepNext/>
      <w:spacing w:line="204" w:lineRule="auto"/>
      <w:jc w:val="both"/>
      <w:outlineLvl w:val="2"/>
    </w:pPr>
    <w:rPr>
      <w:b/>
      <w:sz w:val="28"/>
      <w:lang w:val="ru-RU"/>
    </w:rPr>
  </w:style>
  <w:style w:type="paragraph" w:styleId="4">
    <w:name w:val="heading 4"/>
    <w:basedOn w:val="a"/>
    <w:next w:val="a"/>
    <w:qFormat/>
    <w:rsid w:val="00A72FF6"/>
    <w:pPr>
      <w:keepNext/>
      <w:ind w:firstLine="708"/>
      <w:outlineLvl w:val="3"/>
    </w:pPr>
    <w:rPr>
      <w:b/>
      <w:sz w:val="24"/>
    </w:rPr>
  </w:style>
  <w:style w:type="paragraph" w:styleId="5">
    <w:name w:val="heading 5"/>
    <w:basedOn w:val="a"/>
    <w:next w:val="a"/>
    <w:qFormat/>
    <w:rsid w:val="00A72FF6"/>
    <w:pPr>
      <w:keepNext/>
      <w:spacing w:line="216" w:lineRule="auto"/>
      <w:jc w:val="center"/>
      <w:outlineLvl w:val="4"/>
    </w:pPr>
    <w:rPr>
      <w:b/>
      <w:sz w:val="32"/>
      <w:lang w:val="ru-RU"/>
    </w:rPr>
  </w:style>
  <w:style w:type="paragraph" w:styleId="6">
    <w:name w:val="heading 6"/>
    <w:basedOn w:val="a"/>
    <w:next w:val="a"/>
    <w:qFormat/>
    <w:rsid w:val="00A72FF6"/>
    <w:pPr>
      <w:keepNext/>
      <w:outlineLvl w:val="5"/>
    </w:pPr>
    <w:rPr>
      <w:b/>
      <w:sz w:val="28"/>
    </w:rPr>
  </w:style>
  <w:style w:type="character" w:default="1" w:styleId="a0">
    <w:name w:val="Default Paragraph Font"/>
    <w:aliases w:val=" Знак Знак"/>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w:basedOn w:val="a"/>
    <w:rsid w:val="00A72FF6"/>
    <w:pPr>
      <w:jc w:val="both"/>
    </w:pPr>
    <w:rPr>
      <w:sz w:val="28"/>
    </w:rPr>
  </w:style>
  <w:style w:type="paragraph" w:styleId="a5">
    <w:name w:val="header"/>
    <w:basedOn w:val="a"/>
    <w:rsid w:val="00561C2B"/>
    <w:pPr>
      <w:tabs>
        <w:tab w:val="center" w:pos="4819"/>
        <w:tab w:val="right" w:pos="9639"/>
      </w:tabs>
    </w:pPr>
  </w:style>
  <w:style w:type="character" w:styleId="a6">
    <w:name w:val="page number"/>
    <w:basedOn w:val="a0"/>
    <w:rsid w:val="00561C2B"/>
  </w:style>
  <w:style w:type="paragraph" w:customStyle="1" w:styleId="Normal">
    <w:name w:val="Normal"/>
    <w:rsid w:val="00C83514"/>
    <w:rPr>
      <w:sz w:val="28"/>
    </w:rPr>
  </w:style>
  <w:style w:type="character" w:customStyle="1" w:styleId="spelle">
    <w:name w:val="spelle"/>
    <w:basedOn w:val="a0"/>
    <w:rsid w:val="00E57518"/>
  </w:style>
  <w:style w:type="table" w:styleId="a7">
    <w:name w:val="Table Grid"/>
    <w:basedOn w:val="a2"/>
    <w:rsid w:val="00F631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basedOn w:val="a"/>
    <w:link w:val="a0"/>
    <w:rsid w:val="0081229F"/>
    <w:rPr>
      <w:rFonts w:ascii="Verdana" w:hAnsi="Verdana"/>
      <w:lang w:val="en-US" w:eastAsia="en-US"/>
    </w:rPr>
  </w:style>
  <w:style w:type="paragraph" w:customStyle="1" w:styleId="CharChar">
    <w:name w:val="Char Знак Знак Char Знак"/>
    <w:basedOn w:val="a"/>
    <w:rsid w:val="00E97167"/>
    <w:rPr>
      <w:rFonts w:ascii="Verdana" w:hAnsi="Verdana"/>
      <w:lang w:val="en-US" w:eastAsia="en-US"/>
    </w:rPr>
  </w:style>
  <w:style w:type="paragraph" w:styleId="20">
    <w:name w:val="Body Text 2"/>
    <w:basedOn w:val="a"/>
    <w:rsid w:val="00B40CE8"/>
    <w:pPr>
      <w:spacing w:after="120" w:line="480" w:lineRule="auto"/>
    </w:pPr>
  </w:style>
  <w:style w:type="paragraph" w:styleId="a8">
    <w:name w:val="footer"/>
    <w:basedOn w:val="a"/>
    <w:rsid w:val="00DA4713"/>
    <w:pPr>
      <w:tabs>
        <w:tab w:val="center" w:pos="4677"/>
        <w:tab w:val="right" w:pos="9355"/>
      </w:tabs>
    </w:pPr>
  </w:style>
  <w:style w:type="character" w:customStyle="1" w:styleId="10">
    <w:name w:val="Основной текст1"/>
    <w:basedOn w:val="a0"/>
    <w:rsid w:val="00943A2B"/>
    <w:rPr>
      <w:spacing w:val="10"/>
      <w:sz w:val="24"/>
      <w:szCs w:val="24"/>
      <w:shd w:val="clear" w:color="auto" w:fill="FFFFFF"/>
    </w:rPr>
  </w:style>
  <w:style w:type="character" w:customStyle="1" w:styleId="a9">
    <w:name w:val="Основной текст_"/>
    <w:link w:val="21"/>
    <w:rsid w:val="00943A2B"/>
    <w:rPr>
      <w:spacing w:val="10"/>
      <w:sz w:val="24"/>
      <w:szCs w:val="24"/>
      <w:shd w:val="clear" w:color="auto" w:fill="FFFFFF"/>
    </w:rPr>
  </w:style>
  <w:style w:type="paragraph" w:customStyle="1" w:styleId="21">
    <w:name w:val="Основной текст2"/>
    <w:basedOn w:val="a"/>
    <w:link w:val="a9"/>
    <w:rsid w:val="00943A2B"/>
    <w:pPr>
      <w:shd w:val="clear" w:color="auto" w:fill="FFFFFF"/>
      <w:spacing w:before="420" w:after="60" w:line="634" w:lineRule="exact"/>
      <w:jc w:val="center"/>
    </w:pPr>
    <w:rPr>
      <w:spacing w:val="10"/>
      <w:sz w:val="24"/>
      <w:szCs w:val="24"/>
      <w:shd w:val="clear" w:color="auto" w:fill="FFFFFF"/>
      <w:lang w:val="ru-RU"/>
    </w:rPr>
  </w:style>
  <w:style w:type="character" w:customStyle="1" w:styleId="0pt">
    <w:name w:val="Основной текст + Интервал 0 pt"/>
    <w:rsid w:val="00943A2B"/>
    <w:rPr>
      <w:rFonts w:ascii="Times New Roman" w:eastAsia="Times New Roman" w:hAnsi="Times New Roman" w:cs="Times New Roman"/>
      <w:spacing w:val="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1586</Words>
  <Characters>9042</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10607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Subs</dc:creator>
  <cp:keywords/>
  <dc:description/>
  <cp:lastModifiedBy>Kompvid2</cp:lastModifiedBy>
  <cp:revision>3</cp:revision>
  <cp:lastPrinted>2018-01-22T14:53:00Z</cp:lastPrinted>
  <dcterms:created xsi:type="dcterms:W3CDTF">2018-01-24T15:57:00Z</dcterms:created>
  <dcterms:modified xsi:type="dcterms:W3CDTF">2018-01-24T15:57:00Z</dcterms:modified>
</cp:coreProperties>
</file>