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226" w:rsidRPr="00587FB6" w:rsidRDefault="00A50B3F" w:rsidP="00977390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587FB6">
        <w:rPr>
          <w:b/>
          <w:sz w:val="26"/>
          <w:szCs w:val="26"/>
        </w:rPr>
        <w:t>Інформація</w:t>
      </w:r>
    </w:p>
    <w:p w:rsidR="00A50B3F" w:rsidRPr="00587FB6" w:rsidRDefault="00A50B3F" w:rsidP="00977390">
      <w:pPr>
        <w:jc w:val="center"/>
        <w:rPr>
          <w:b/>
          <w:sz w:val="26"/>
          <w:szCs w:val="26"/>
          <w:lang w:val="uk-UA"/>
        </w:rPr>
      </w:pPr>
      <w:r w:rsidRPr="00587FB6">
        <w:rPr>
          <w:b/>
          <w:sz w:val="26"/>
          <w:szCs w:val="26"/>
          <w:lang w:val="uk-UA"/>
        </w:rPr>
        <w:t xml:space="preserve">про  хід виконання  Програми розвитку </w:t>
      </w:r>
      <w:r w:rsidR="00977390" w:rsidRPr="00587FB6">
        <w:rPr>
          <w:b/>
          <w:sz w:val="26"/>
          <w:szCs w:val="26"/>
          <w:lang w:val="uk-UA"/>
        </w:rPr>
        <w:t>малого і середнього підприємництва в місті Чернівцях на 20</w:t>
      </w:r>
      <w:r w:rsidR="005C0E75" w:rsidRPr="00587FB6">
        <w:rPr>
          <w:b/>
          <w:sz w:val="26"/>
          <w:szCs w:val="26"/>
          <w:lang w:val="uk-UA"/>
        </w:rPr>
        <w:t>19</w:t>
      </w:r>
      <w:r w:rsidR="00977390" w:rsidRPr="00587FB6">
        <w:rPr>
          <w:b/>
          <w:sz w:val="26"/>
          <w:szCs w:val="26"/>
          <w:lang w:val="uk-UA"/>
        </w:rPr>
        <w:t>-20</w:t>
      </w:r>
      <w:r w:rsidR="005C0E75" w:rsidRPr="00587FB6">
        <w:rPr>
          <w:b/>
          <w:sz w:val="26"/>
          <w:szCs w:val="26"/>
          <w:lang w:val="uk-UA"/>
        </w:rPr>
        <w:t>20</w:t>
      </w:r>
      <w:r w:rsidR="00977390" w:rsidRPr="00587FB6">
        <w:rPr>
          <w:b/>
          <w:sz w:val="26"/>
          <w:szCs w:val="26"/>
          <w:lang w:val="uk-UA"/>
        </w:rPr>
        <w:t xml:space="preserve"> роки, затвердженої рішенням міської ради VII скликання  від </w:t>
      </w:r>
      <w:r w:rsidR="005C0E75" w:rsidRPr="00587FB6">
        <w:rPr>
          <w:b/>
          <w:sz w:val="26"/>
          <w:szCs w:val="26"/>
          <w:lang w:val="uk-UA"/>
        </w:rPr>
        <w:t>20</w:t>
      </w:r>
      <w:r w:rsidR="00977390" w:rsidRPr="00587FB6">
        <w:rPr>
          <w:b/>
          <w:sz w:val="26"/>
          <w:szCs w:val="26"/>
          <w:lang w:val="uk-UA"/>
        </w:rPr>
        <w:t>.1</w:t>
      </w:r>
      <w:r w:rsidR="005C0E75" w:rsidRPr="00587FB6">
        <w:rPr>
          <w:b/>
          <w:sz w:val="26"/>
          <w:szCs w:val="26"/>
          <w:lang w:val="uk-UA"/>
        </w:rPr>
        <w:t>2</w:t>
      </w:r>
      <w:r w:rsidR="00977390" w:rsidRPr="00587FB6">
        <w:rPr>
          <w:b/>
          <w:sz w:val="26"/>
          <w:szCs w:val="26"/>
          <w:lang w:val="uk-UA"/>
        </w:rPr>
        <w:t>.201</w:t>
      </w:r>
      <w:r w:rsidR="005C0E75" w:rsidRPr="00587FB6">
        <w:rPr>
          <w:b/>
          <w:sz w:val="26"/>
          <w:szCs w:val="26"/>
          <w:lang w:val="uk-UA"/>
        </w:rPr>
        <w:t>8</w:t>
      </w:r>
      <w:r w:rsidR="00977390" w:rsidRPr="00587FB6">
        <w:rPr>
          <w:b/>
          <w:sz w:val="26"/>
          <w:szCs w:val="26"/>
          <w:lang w:val="uk-UA"/>
        </w:rPr>
        <w:t xml:space="preserve"> №</w:t>
      </w:r>
      <w:r w:rsidR="005C0E75" w:rsidRPr="00587FB6">
        <w:rPr>
          <w:b/>
          <w:sz w:val="26"/>
          <w:szCs w:val="26"/>
          <w:lang w:val="uk-UA"/>
        </w:rPr>
        <w:t>1579</w:t>
      </w:r>
    </w:p>
    <w:p w:rsidR="00977390" w:rsidRPr="00587FB6" w:rsidRDefault="00977390" w:rsidP="00977390">
      <w:pPr>
        <w:jc w:val="center"/>
        <w:rPr>
          <w:b/>
          <w:sz w:val="26"/>
          <w:szCs w:val="26"/>
          <w:lang w:val="uk-UA"/>
        </w:rPr>
      </w:pPr>
    </w:p>
    <w:p w:rsidR="00977390" w:rsidRPr="00587FB6" w:rsidRDefault="00977390" w:rsidP="00977390">
      <w:pPr>
        <w:jc w:val="both"/>
        <w:rPr>
          <w:b/>
          <w:sz w:val="26"/>
          <w:szCs w:val="26"/>
          <w:lang w:val="uk-UA"/>
        </w:rPr>
      </w:pPr>
    </w:p>
    <w:p w:rsidR="00977390" w:rsidRPr="00587FB6" w:rsidRDefault="00977390" w:rsidP="00977390">
      <w:pPr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       Упродовж  20</w:t>
      </w:r>
      <w:r w:rsidR="005C0E75" w:rsidRPr="00587FB6">
        <w:rPr>
          <w:sz w:val="26"/>
          <w:szCs w:val="26"/>
          <w:lang w:val="uk-UA"/>
        </w:rPr>
        <w:t>19</w:t>
      </w:r>
      <w:r w:rsidRPr="00587FB6">
        <w:rPr>
          <w:sz w:val="26"/>
          <w:szCs w:val="26"/>
          <w:lang w:val="uk-UA"/>
        </w:rPr>
        <w:t>-20</w:t>
      </w:r>
      <w:r w:rsidR="005C0E75" w:rsidRPr="00587FB6">
        <w:rPr>
          <w:sz w:val="26"/>
          <w:szCs w:val="26"/>
          <w:lang w:val="uk-UA"/>
        </w:rPr>
        <w:t xml:space="preserve">20 </w:t>
      </w:r>
      <w:r w:rsidRPr="00587FB6">
        <w:rPr>
          <w:sz w:val="26"/>
          <w:szCs w:val="26"/>
          <w:lang w:val="uk-UA"/>
        </w:rPr>
        <w:t>років робота виконавчих органів міської ради спрямовувалась на виконання заходів з реалізації Програми розвитку малого і середнього підприємництва в місті Чернівцях на 20</w:t>
      </w:r>
      <w:r w:rsidR="005C0E75" w:rsidRPr="00587FB6">
        <w:rPr>
          <w:sz w:val="26"/>
          <w:szCs w:val="26"/>
          <w:lang w:val="uk-UA"/>
        </w:rPr>
        <w:t>19</w:t>
      </w:r>
      <w:r w:rsidRPr="00587FB6">
        <w:rPr>
          <w:sz w:val="26"/>
          <w:szCs w:val="26"/>
          <w:lang w:val="uk-UA"/>
        </w:rPr>
        <w:t>-20</w:t>
      </w:r>
      <w:r w:rsidR="005C0E75" w:rsidRPr="00587FB6">
        <w:rPr>
          <w:sz w:val="26"/>
          <w:szCs w:val="26"/>
          <w:lang w:val="uk-UA"/>
        </w:rPr>
        <w:t>20</w:t>
      </w:r>
      <w:r w:rsidRPr="00587FB6">
        <w:rPr>
          <w:sz w:val="26"/>
          <w:szCs w:val="26"/>
          <w:lang w:val="uk-UA"/>
        </w:rPr>
        <w:t xml:space="preserve"> роки щодо  забезпечення стабільних умов розвитку підприємницької діяльності, ресурсної  та інформаційної підтримки суб’єктів малого і середнього бізнесу, створення робочих місць тощо.</w:t>
      </w:r>
    </w:p>
    <w:p w:rsidR="000E5642" w:rsidRPr="00587FB6" w:rsidRDefault="000E5642" w:rsidP="000E5642">
      <w:pPr>
        <w:ind w:firstLine="720"/>
        <w:jc w:val="both"/>
        <w:rPr>
          <w:color w:val="000000"/>
          <w:sz w:val="26"/>
          <w:szCs w:val="26"/>
          <w:lang w:val="uk-UA"/>
        </w:rPr>
      </w:pPr>
      <w:r w:rsidRPr="00587FB6">
        <w:rPr>
          <w:color w:val="000000"/>
          <w:sz w:val="26"/>
          <w:szCs w:val="26"/>
          <w:lang w:val="uk-UA"/>
        </w:rPr>
        <w:t xml:space="preserve">Розвиток малого і середнього підприємництва є фундаментом соціально-економічного зростання міста та головним фактором формування середнього класу, що гарантує стабільність економіки та підвищення рівня життя громадян. У результаті відкриття власної справи та самозайнятості знижується рівень безробіття та водночас підвищується рівень доходів населення, що сприяє зростанню сукупного попиту та збільшенню обсягу виробництва. </w:t>
      </w:r>
    </w:p>
    <w:p w:rsidR="000E5642" w:rsidRPr="00587FB6" w:rsidRDefault="000E5642" w:rsidP="000E5642">
      <w:pPr>
        <w:tabs>
          <w:tab w:val="left" w:pos="540"/>
        </w:tabs>
        <w:ind w:right="17"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Головним чинником, який має вплив на розвиток підприємництва  на даний час, є кризові явища пов’язані з боротьбою з поширення гострої респіраторної хвороби COVID-19, спричиненої коронавірусом SARS-CoV-2, що стало наслідком погіршення економічної та політичної  ситуації в Україні. Це зумовило падіння курсу національної валюти, подорожчання вартості енергоресурсів, зростання цін на сировину, матеріали, товари, переформатувало до певної міри зовнішньоекономічну діяльність, ускладнило отримання кредитних ресурсів тощо.</w:t>
      </w:r>
    </w:p>
    <w:p w:rsidR="000E5642" w:rsidRPr="00587FB6" w:rsidRDefault="000E5642" w:rsidP="000E5642">
      <w:pPr>
        <w:tabs>
          <w:tab w:val="left" w:pos="540"/>
        </w:tabs>
        <w:ind w:right="17"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Аналіз стану розвитку малого і середнього підприємництва в місті Чернівцях свідчить про позитивну динаміку зростання основних показників, що характеризують діяльність цього сегменту економіки, проте спостерігається тенденція незначного зменшення окремих кількісних показників діяльності суб’єктів бізнесу. </w:t>
      </w:r>
    </w:p>
    <w:p w:rsidR="000E5642" w:rsidRPr="00587FB6" w:rsidRDefault="000E5642" w:rsidP="000E5642">
      <w:pPr>
        <w:ind w:firstLine="720"/>
        <w:jc w:val="both"/>
        <w:rPr>
          <w:bCs/>
          <w:color w:val="000000"/>
          <w:sz w:val="26"/>
          <w:szCs w:val="26"/>
          <w:lang w:val="uk-UA"/>
        </w:rPr>
      </w:pPr>
      <w:r w:rsidRPr="00587FB6">
        <w:rPr>
          <w:bCs/>
          <w:color w:val="000000"/>
          <w:sz w:val="26"/>
          <w:szCs w:val="26"/>
          <w:lang w:val="uk-UA"/>
        </w:rPr>
        <w:t>Дослідження стану підприємницького середовища показало, що попри складне політичне та соціально-економічне середовище спостерігалась позитивна тенденція реєстрації суб'єктів господарювання. Станом на 01 жовтня 2020 року  на обліку у місті Чернівці знаходиться 30,2тис. суб’єктів підприємництва, з яких:</w:t>
      </w:r>
    </w:p>
    <w:p w:rsidR="000E5642" w:rsidRPr="00587FB6" w:rsidRDefault="000E5642" w:rsidP="000E5642">
      <w:pPr>
        <w:ind w:firstLine="720"/>
        <w:jc w:val="both"/>
        <w:rPr>
          <w:bCs/>
          <w:color w:val="000000"/>
          <w:sz w:val="26"/>
          <w:szCs w:val="26"/>
          <w:lang w:val="uk-UA"/>
        </w:rPr>
      </w:pPr>
      <w:r w:rsidRPr="00587FB6">
        <w:rPr>
          <w:bCs/>
          <w:color w:val="000000"/>
          <w:sz w:val="26"/>
          <w:szCs w:val="26"/>
          <w:lang w:val="uk-UA"/>
        </w:rPr>
        <w:t>- 9,2 тис. юридичних осіб;</w:t>
      </w:r>
    </w:p>
    <w:p w:rsidR="000E5642" w:rsidRPr="00587FB6" w:rsidRDefault="000E5642" w:rsidP="000E5642">
      <w:pPr>
        <w:ind w:firstLine="720"/>
        <w:jc w:val="both"/>
        <w:rPr>
          <w:bCs/>
          <w:color w:val="000000"/>
          <w:sz w:val="26"/>
          <w:szCs w:val="26"/>
          <w:lang w:val="uk-UA"/>
        </w:rPr>
      </w:pPr>
      <w:r w:rsidRPr="00587FB6">
        <w:rPr>
          <w:bCs/>
          <w:color w:val="000000"/>
          <w:sz w:val="26"/>
          <w:szCs w:val="26"/>
          <w:lang w:val="uk-UA"/>
        </w:rPr>
        <w:t xml:space="preserve">- 21,0 тис. фізичних осіб-підприємців. 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Відслідковується тенденція щодо зменшення показника припинення державної реєстрації  суб’єктами підприємництва,  зокрема  протягом січня - вересня 2020 року цей показник становив 1890 осіб, що у майже на 20% менше показника  минулого року. </w:t>
      </w:r>
    </w:p>
    <w:p w:rsidR="000E5642" w:rsidRPr="00587FB6" w:rsidRDefault="000E5642" w:rsidP="000E5642">
      <w:pPr>
        <w:tabs>
          <w:tab w:val="num" w:pos="0"/>
        </w:tabs>
        <w:ind w:firstLine="709"/>
        <w:jc w:val="both"/>
        <w:rPr>
          <w:b/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Динаміка державної реєстрації суб’єктів підприємницької діяльності за 2017- 2020 роки  наведена у діаграмі 1.</w:t>
      </w:r>
    </w:p>
    <w:p w:rsidR="00587FB6" w:rsidRDefault="00587FB6" w:rsidP="000E5642">
      <w:pPr>
        <w:tabs>
          <w:tab w:val="num" w:pos="0"/>
        </w:tabs>
        <w:ind w:firstLine="709"/>
        <w:jc w:val="right"/>
        <w:rPr>
          <w:b/>
          <w:sz w:val="26"/>
          <w:szCs w:val="26"/>
          <w:lang w:val="uk-UA"/>
        </w:rPr>
      </w:pPr>
    </w:p>
    <w:p w:rsidR="00587FB6" w:rsidRDefault="00587FB6" w:rsidP="000E5642">
      <w:pPr>
        <w:tabs>
          <w:tab w:val="num" w:pos="0"/>
        </w:tabs>
        <w:ind w:firstLine="709"/>
        <w:jc w:val="right"/>
        <w:rPr>
          <w:b/>
          <w:sz w:val="26"/>
          <w:szCs w:val="26"/>
          <w:lang w:val="uk-UA"/>
        </w:rPr>
      </w:pPr>
    </w:p>
    <w:p w:rsidR="00587FB6" w:rsidRDefault="00587FB6" w:rsidP="000E5642">
      <w:pPr>
        <w:tabs>
          <w:tab w:val="num" w:pos="0"/>
        </w:tabs>
        <w:ind w:firstLine="709"/>
        <w:jc w:val="right"/>
        <w:rPr>
          <w:b/>
          <w:sz w:val="26"/>
          <w:szCs w:val="26"/>
          <w:lang w:val="uk-UA"/>
        </w:rPr>
      </w:pPr>
    </w:p>
    <w:p w:rsidR="00587FB6" w:rsidRDefault="00587FB6" w:rsidP="000E5642">
      <w:pPr>
        <w:tabs>
          <w:tab w:val="num" w:pos="0"/>
        </w:tabs>
        <w:ind w:firstLine="709"/>
        <w:jc w:val="right"/>
        <w:rPr>
          <w:b/>
          <w:sz w:val="26"/>
          <w:szCs w:val="26"/>
          <w:lang w:val="uk-UA"/>
        </w:rPr>
      </w:pPr>
    </w:p>
    <w:p w:rsidR="00587FB6" w:rsidRDefault="00587FB6" w:rsidP="000E5642">
      <w:pPr>
        <w:tabs>
          <w:tab w:val="num" w:pos="0"/>
        </w:tabs>
        <w:ind w:firstLine="709"/>
        <w:jc w:val="right"/>
        <w:rPr>
          <w:b/>
          <w:sz w:val="26"/>
          <w:szCs w:val="26"/>
          <w:lang w:val="uk-UA"/>
        </w:rPr>
      </w:pPr>
    </w:p>
    <w:p w:rsidR="00587FB6" w:rsidRDefault="00587FB6" w:rsidP="000E5642">
      <w:pPr>
        <w:tabs>
          <w:tab w:val="num" w:pos="0"/>
        </w:tabs>
        <w:ind w:firstLine="709"/>
        <w:jc w:val="right"/>
        <w:rPr>
          <w:b/>
          <w:sz w:val="26"/>
          <w:szCs w:val="26"/>
          <w:lang w:val="uk-UA"/>
        </w:rPr>
      </w:pPr>
    </w:p>
    <w:p w:rsidR="000E5642" w:rsidRPr="00587FB6" w:rsidRDefault="000E5642" w:rsidP="000E5642">
      <w:pPr>
        <w:tabs>
          <w:tab w:val="num" w:pos="0"/>
        </w:tabs>
        <w:ind w:firstLine="709"/>
        <w:jc w:val="right"/>
        <w:rPr>
          <w:szCs w:val="26"/>
          <w:lang w:val="uk-UA"/>
        </w:rPr>
      </w:pPr>
      <w:r w:rsidRPr="00587FB6">
        <w:rPr>
          <w:b/>
          <w:szCs w:val="26"/>
          <w:lang w:val="uk-UA"/>
        </w:rPr>
        <w:t>Діаграма 1</w:t>
      </w:r>
    </w:p>
    <w:p w:rsidR="000E5642" w:rsidRPr="00587FB6" w:rsidRDefault="000E5642" w:rsidP="000E5642">
      <w:pPr>
        <w:tabs>
          <w:tab w:val="num" w:pos="0"/>
        </w:tabs>
        <w:ind w:firstLine="709"/>
        <w:jc w:val="both"/>
        <w:rPr>
          <w:b/>
          <w:sz w:val="26"/>
          <w:szCs w:val="26"/>
          <w:u w:val="single"/>
          <w:lang w:val="uk-UA"/>
        </w:rPr>
      </w:pPr>
    </w:p>
    <w:p w:rsidR="000E5642" w:rsidRPr="00587FB6" w:rsidRDefault="000E5642" w:rsidP="000E5642">
      <w:pPr>
        <w:jc w:val="center"/>
        <w:rPr>
          <w:b/>
          <w:sz w:val="26"/>
          <w:szCs w:val="26"/>
          <w:u w:val="single"/>
          <w:lang w:val="uk-UA"/>
        </w:rPr>
      </w:pPr>
      <w:r w:rsidRPr="00587FB6">
        <w:rPr>
          <w:b/>
          <w:sz w:val="26"/>
          <w:szCs w:val="26"/>
          <w:u w:val="single"/>
          <w:lang w:val="uk-UA"/>
        </w:rPr>
        <w:t>Показники державної реєстрації суб’єктів підприємництва за 2017-2020 роки, одиниць</w:t>
      </w:r>
    </w:p>
    <w:p w:rsidR="000E5642" w:rsidRPr="00587FB6" w:rsidRDefault="0041234D" w:rsidP="000E5642">
      <w:pPr>
        <w:tabs>
          <w:tab w:val="left" w:pos="1178"/>
        </w:tabs>
        <w:rPr>
          <w:b/>
          <w:sz w:val="26"/>
          <w:szCs w:val="26"/>
          <w:u w:val="single"/>
          <w:lang w:val="uk-UA"/>
        </w:rPr>
      </w:pPr>
      <w:r w:rsidRPr="00587FB6">
        <w:rPr>
          <w:noProof/>
          <w:sz w:val="26"/>
          <w:szCs w:val="26"/>
          <w:lang w:val="en-US" w:eastAsia="en-US"/>
        </w:rPr>
        <w:drawing>
          <wp:inline distT="0" distB="0" distL="0" distR="0">
            <wp:extent cx="5851525" cy="2597785"/>
            <wp:effectExtent l="0" t="0" r="0" b="0"/>
            <wp:docPr id="1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E5642" w:rsidRPr="00587FB6" w:rsidRDefault="000E5642" w:rsidP="000E5642">
      <w:pPr>
        <w:tabs>
          <w:tab w:val="num" w:pos="0"/>
        </w:tabs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За даними Чернівецького управління ГУ ДФС у Чернівецькій області, станом на 01.10. 2020 року в місті здійснюють діяльність </w:t>
      </w:r>
      <w:r w:rsidRPr="00587FB6">
        <w:rPr>
          <w:b/>
          <w:sz w:val="26"/>
          <w:szCs w:val="26"/>
          <w:lang w:val="uk-UA"/>
        </w:rPr>
        <w:t xml:space="preserve">30 194 </w:t>
      </w:r>
      <w:r w:rsidRPr="00587FB6">
        <w:rPr>
          <w:sz w:val="26"/>
          <w:szCs w:val="26"/>
          <w:lang w:val="uk-UA"/>
        </w:rPr>
        <w:t xml:space="preserve">суб’єктів малого і середнього бізнесу, з них 9185 –юридичних осіб  та 21 009 – фізичних осіб-підприємців. Таким чином у структурі підприємств співвідношення юридичних осіб і фізичних осіб-підприємців становить: частка юридичних осіб – 30,4%, а частка фізичних осіб-підприємців відповідно  69,6%, </w:t>
      </w:r>
      <w:r w:rsidRPr="00587FB6">
        <w:rPr>
          <w:bCs/>
          <w:color w:val="000000"/>
          <w:sz w:val="26"/>
          <w:szCs w:val="26"/>
          <w:lang w:val="uk-UA"/>
        </w:rPr>
        <w:t>що в цілому відповідає рівню розвинутих країн світу.</w:t>
      </w:r>
    </w:p>
    <w:p w:rsidR="000E5642" w:rsidRPr="00587FB6" w:rsidRDefault="000E5642" w:rsidP="000E5642">
      <w:pPr>
        <w:tabs>
          <w:tab w:val="num" w:pos="0"/>
        </w:tabs>
        <w:ind w:firstLine="709"/>
        <w:jc w:val="both"/>
        <w:rPr>
          <w:szCs w:val="26"/>
          <w:lang w:val="uk-UA"/>
        </w:rPr>
      </w:pPr>
      <w:r w:rsidRPr="00587FB6">
        <w:rPr>
          <w:sz w:val="26"/>
          <w:szCs w:val="26"/>
          <w:lang w:val="uk-UA"/>
        </w:rPr>
        <w:t>У розрахунку на 10 тисяч осіб наявного населення</w:t>
      </w:r>
      <w:r w:rsidRPr="00587FB6">
        <w:rPr>
          <w:b/>
          <w:sz w:val="26"/>
          <w:szCs w:val="26"/>
          <w:lang w:val="uk-UA"/>
        </w:rPr>
        <w:t xml:space="preserve"> </w:t>
      </w:r>
      <w:r w:rsidRPr="00587FB6">
        <w:rPr>
          <w:sz w:val="26"/>
          <w:szCs w:val="26"/>
          <w:lang w:val="uk-UA"/>
        </w:rPr>
        <w:t>міста припадало 87</w:t>
      </w:r>
      <w:r w:rsidRPr="00587FB6">
        <w:rPr>
          <w:b/>
          <w:sz w:val="26"/>
          <w:szCs w:val="26"/>
          <w:lang w:val="uk-UA"/>
        </w:rPr>
        <w:t xml:space="preserve"> середніх та малих підприємств</w:t>
      </w:r>
      <w:r w:rsidRPr="00587FB6">
        <w:rPr>
          <w:sz w:val="26"/>
          <w:szCs w:val="26"/>
          <w:lang w:val="uk-UA"/>
        </w:rPr>
        <w:t>. По кількості малих підприємств цей показник становить - 83,  середніх - 4.  Динаміка показників за 2018-2020 роки наведена в діаграмі 2.</w:t>
      </w:r>
    </w:p>
    <w:p w:rsidR="000E5642" w:rsidRPr="00587FB6" w:rsidRDefault="000E5642" w:rsidP="000E5642">
      <w:pPr>
        <w:tabs>
          <w:tab w:val="num" w:pos="0"/>
        </w:tabs>
        <w:ind w:firstLine="709"/>
        <w:jc w:val="right"/>
        <w:rPr>
          <w:b/>
          <w:szCs w:val="26"/>
          <w:lang w:val="uk-UA"/>
        </w:rPr>
      </w:pPr>
      <w:r w:rsidRPr="00587FB6">
        <w:rPr>
          <w:b/>
          <w:szCs w:val="26"/>
          <w:lang w:val="uk-UA"/>
        </w:rPr>
        <w:t xml:space="preserve">Діаграма 2 </w:t>
      </w:r>
    </w:p>
    <w:p w:rsidR="000E5642" w:rsidRPr="00587FB6" w:rsidRDefault="000E5642" w:rsidP="000E5642">
      <w:pPr>
        <w:tabs>
          <w:tab w:val="num" w:pos="0"/>
        </w:tabs>
        <w:ind w:firstLine="709"/>
        <w:jc w:val="right"/>
        <w:rPr>
          <w:sz w:val="26"/>
          <w:szCs w:val="26"/>
          <w:lang w:val="uk-UA"/>
        </w:rPr>
      </w:pPr>
    </w:p>
    <w:p w:rsidR="000E5642" w:rsidRPr="00587FB6" w:rsidRDefault="000E5642" w:rsidP="000E5642">
      <w:pPr>
        <w:tabs>
          <w:tab w:val="num" w:pos="0"/>
        </w:tabs>
        <w:jc w:val="center"/>
        <w:rPr>
          <w:b/>
          <w:sz w:val="26"/>
          <w:szCs w:val="26"/>
          <w:u w:val="single"/>
          <w:lang w:val="uk-UA"/>
        </w:rPr>
      </w:pPr>
      <w:r w:rsidRPr="00587FB6">
        <w:rPr>
          <w:b/>
          <w:sz w:val="26"/>
          <w:szCs w:val="26"/>
          <w:u w:val="single"/>
          <w:lang w:val="uk-UA"/>
        </w:rPr>
        <w:t xml:space="preserve">Динаміка кількості малих і середніх підприємств в м. Чернівці </w:t>
      </w:r>
    </w:p>
    <w:p w:rsidR="000E5642" w:rsidRPr="00587FB6" w:rsidRDefault="000E5642" w:rsidP="000E5642">
      <w:pPr>
        <w:tabs>
          <w:tab w:val="num" w:pos="0"/>
        </w:tabs>
        <w:jc w:val="center"/>
        <w:rPr>
          <w:b/>
          <w:sz w:val="26"/>
          <w:szCs w:val="26"/>
          <w:u w:val="single"/>
          <w:lang w:val="uk-UA"/>
        </w:rPr>
      </w:pPr>
      <w:r w:rsidRPr="00587FB6">
        <w:rPr>
          <w:b/>
          <w:sz w:val="26"/>
          <w:szCs w:val="26"/>
          <w:u w:val="single"/>
          <w:lang w:val="uk-UA"/>
        </w:rPr>
        <w:t>за 2018 - 2020 роки</w:t>
      </w:r>
    </w:p>
    <w:p w:rsidR="000E5642" w:rsidRPr="00587FB6" w:rsidRDefault="0041234D" w:rsidP="000E5642">
      <w:pPr>
        <w:tabs>
          <w:tab w:val="num" w:pos="0"/>
        </w:tabs>
        <w:jc w:val="center"/>
        <w:rPr>
          <w:sz w:val="26"/>
          <w:szCs w:val="26"/>
          <w:lang w:val="uk-UA"/>
        </w:rPr>
      </w:pPr>
      <w:r w:rsidRPr="00587FB6">
        <w:rPr>
          <w:noProof/>
          <w:sz w:val="26"/>
          <w:szCs w:val="26"/>
          <w:lang w:val="en-US" w:eastAsia="en-US"/>
        </w:rPr>
        <w:drawing>
          <wp:inline distT="0" distB="0" distL="0" distR="0">
            <wp:extent cx="6012815" cy="2977515"/>
            <wp:effectExtent l="0" t="0" r="0" b="0"/>
            <wp:docPr id="2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E5642" w:rsidRPr="00587FB6" w:rsidRDefault="000E5642" w:rsidP="000E5642">
      <w:pPr>
        <w:tabs>
          <w:tab w:val="num" w:pos="0"/>
        </w:tabs>
        <w:ind w:firstLine="709"/>
        <w:jc w:val="both"/>
        <w:rPr>
          <w:b/>
          <w:sz w:val="26"/>
          <w:szCs w:val="26"/>
          <w:u w:val="single"/>
          <w:lang w:val="uk-UA"/>
        </w:rPr>
      </w:pPr>
      <w:r w:rsidRPr="00587FB6">
        <w:rPr>
          <w:sz w:val="26"/>
          <w:szCs w:val="26"/>
          <w:lang w:val="uk-UA"/>
        </w:rPr>
        <w:lastRenderedPageBreak/>
        <w:t>За видами економічної діяльності, найбільша кількість підприємств здійснювали діяльність у сферах оптової та роздрібної торгівлі, ремонту автотранспортних засобів і мотоциклів, промисловості, операцій з нерухомим майном та будівництві.</w:t>
      </w:r>
    </w:p>
    <w:p w:rsidR="000E5642" w:rsidRPr="00587FB6" w:rsidRDefault="000E5642" w:rsidP="000E5642">
      <w:pPr>
        <w:tabs>
          <w:tab w:val="num" w:pos="0"/>
        </w:tabs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За даними Чернівецького управління ГУ ДФС у Чернівецькій області, станом на 01.10.2020 року, кількість платників податків - суб’єктів малого і середнього підприємництва  в місті становила  30,2 тис. осіб, з них 20,0 тис. фізичних осіб - підприємців. На спрощеній системі оподаткування, за І-ІІІ групами оподаткування перебувають 1873 суб’єкти господарювання – юридичних осіб та 14 373 фізичних осіб підприємців, на загальній системі оподаткування – 6636 підприємців.</w:t>
      </w:r>
    </w:p>
    <w:p w:rsidR="000E5642" w:rsidRPr="00587FB6" w:rsidRDefault="000E5642" w:rsidP="000E5642">
      <w:pPr>
        <w:tabs>
          <w:tab w:val="num" w:pos="0"/>
        </w:tabs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Порівняно з показником на відповідний період 2019 року, загальна кількість платників податків зменшилась на 956 осіб або 3%, у тому числі суб’єктів підприємництва, що перебувають на спрощеній системі оподаткування зменшилась на 1011 осіб або 5,8%, на загальній системі оподаткування кількість платників податків збільшилась на 567 осіб або 9,4%</w:t>
      </w:r>
    </w:p>
    <w:p w:rsidR="000E5642" w:rsidRPr="00587FB6" w:rsidRDefault="000E5642" w:rsidP="000E5642">
      <w:pPr>
        <w:ind w:firstLine="709"/>
        <w:jc w:val="both"/>
        <w:rPr>
          <w:b/>
          <w:sz w:val="26"/>
          <w:szCs w:val="26"/>
          <w:u w:val="single"/>
          <w:lang w:val="uk-UA"/>
        </w:rPr>
      </w:pPr>
    </w:p>
    <w:p w:rsidR="000E5642" w:rsidRPr="00587FB6" w:rsidRDefault="000E5642" w:rsidP="000E5642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Одним із пріоритетних завдань розвитку малого і середнього бізнесу залишається питання </w:t>
      </w:r>
      <w:r w:rsidRPr="00587FB6">
        <w:rPr>
          <w:b/>
          <w:sz w:val="26"/>
          <w:szCs w:val="26"/>
          <w:lang w:val="uk-UA"/>
        </w:rPr>
        <w:t>зайнятості населення.</w:t>
      </w:r>
      <w:r w:rsidRPr="00587FB6">
        <w:rPr>
          <w:sz w:val="26"/>
          <w:szCs w:val="26"/>
          <w:lang w:val="uk-UA"/>
        </w:rPr>
        <w:t xml:space="preserve"> Впродовж останніх років, за даними податкової служби міста, спостерігалась тенденція щодо збільшення зайнятих працівників на малих і середніх підприємствах міста. </w:t>
      </w:r>
    </w:p>
    <w:p w:rsidR="000E5642" w:rsidRPr="00587FB6" w:rsidRDefault="000E5642" w:rsidP="000E5642">
      <w:pPr>
        <w:tabs>
          <w:tab w:val="left" w:pos="0"/>
        </w:tabs>
        <w:ind w:firstLine="709"/>
        <w:jc w:val="both"/>
        <w:rPr>
          <w:b/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За підсумками 6 місяців 2020 року на малих та середніх підприємствах міста було зайнято 44,1 тис. осіб, з них на малих підприємствах було зайнято 25,17 тис. осіб, на середніх – 18,93 тис. осіб. Порівняно з 2019 роком  їх кількість  збільшилась на 0,5 тис. осіб або 1,1%, зокрема, за рахунок збільшення чисельності працівників на малих підприємствах на 1,3% та на 1,0% збільшення чисельності працівників у суб’єктів середнього підприємництва. Динаміка зайнятості  за 2018-2020 роки наведена в діаграмі 3.</w:t>
      </w:r>
    </w:p>
    <w:p w:rsidR="000E5642" w:rsidRPr="00587FB6" w:rsidRDefault="000E5642" w:rsidP="000E5642">
      <w:pPr>
        <w:tabs>
          <w:tab w:val="left" w:pos="0"/>
        </w:tabs>
        <w:ind w:firstLine="709"/>
        <w:jc w:val="right"/>
        <w:rPr>
          <w:b/>
          <w:szCs w:val="26"/>
          <w:lang w:val="uk-UA"/>
        </w:rPr>
      </w:pPr>
      <w:r w:rsidRPr="00587FB6">
        <w:rPr>
          <w:b/>
          <w:szCs w:val="26"/>
          <w:lang w:val="uk-UA"/>
        </w:rPr>
        <w:t>Діаграма 3</w:t>
      </w:r>
    </w:p>
    <w:p w:rsidR="000E5642" w:rsidRPr="00587FB6" w:rsidRDefault="000E5642" w:rsidP="000E5642">
      <w:pPr>
        <w:tabs>
          <w:tab w:val="left" w:pos="0"/>
        </w:tabs>
        <w:ind w:firstLine="709"/>
        <w:jc w:val="right"/>
        <w:rPr>
          <w:color w:val="000000"/>
          <w:sz w:val="26"/>
          <w:szCs w:val="26"/>
          <w:lang w:val="uk-UA"/>
        </w:rPr>
      </w:pPr>
    </w:p>
    <w:p w:rsidR="000E5642" w:rsidRPr="00587FB6" w:rsidRDefault="000E5642" w:rsidP="000E5642">
      <w:pPr>
        <w:tabs>
          <w:tab w:val="num" w:pos="0"/>
        </w:tabs>
        <w:ind w:firstLine="709"/>
        <w:jc w:val="center"/>
        <w:rPr>
          <w:b/>
          <w:sz w:val="26"/>
          <w:szCs w:val="26"/>
          <w:u w:val="single"/>
          <w:lang w:val="uk-UA"/>
        </w:rPr>
      </w:pPr>
      <w:r w:rsidRPr="00587FB6">
        <w:rPr>
          <w:b/>
          <w:sz w:val="26"/>
          <w:szCs w:val="26"/>
          <w:u w:val="single"/>
          <w:lang w:val="uk-UA"/>
        </w:rPr>
        <w:t xml:space="preserve">Кількість зайнятих працівників на малих і середніх підприємствах </w:t>
      </w:r>
    </w:p>
    <w:p w:rsidR="000E5642" w:rsidRPr="00587FB6" w:rsidRDefault="000E5642" w:rsidP="000E5642">
      <w:pPr>
        <w:tabs>
          <w:tab w:val="num" w:pos="0"/>
        </w:tabs>
        <w:ind w:firstLine="709"/>
        <w:jc w:val="center"/>
        <w:rPr>
          <w:b/>
          <w:sz w:val="26"/>
          <w:szCs w:val="26"/>
          <w:u w:val="single"/>
          <w:lang w:val="uk-UA"/>
        </w:rPr>
      </w:pPr>
      <w:r w:rsidRPr="00587FB6">
        <w:rPr>
          <w:b/>
          <w:sz w:val="26"/>
          <w:szCs w:val="26"/>
          <w:u w:val="single"/>
          <w:lang w:val="uk-UA"/>
        </w:rPr>
        <w:t>в м. Чернівці за 2018-2020 роки</w:t>
      </w:r>
    </w:p>
    <w:p w:rsidR="000E5642" w:rsidRPr="00587FB6" w:rsidRDefault="0041234D" w:rsidP="000E5642">
      <w:pPr>
        <w:tabs>
          <w:tab w:val="num" w:pos="0"/>
        </w:tabs>
        <w:jc w:val="center"/>
        <w:rPr>
          <w:b/>
          <w:sz w:val="26"/>
          <w:szCs w:val="26"/>
          <w:u w:val="single"/>
          <w:lang w:val="uk-UA"/>
        </w:rPr>
      </w:pPr>
      <w:r w:rsidRPr="00587FB6">
        <w:rPr>
          <w:noProof/>
          <w:sz w:val="26"/>
          <w:szCs w:val="26"/>
          <w:lang w:val="en-US" w:eastAsia="en-US"/>
        </w:rPr>
        <w:drawing>
          <wp:inline distT="0" distB="0" distL="0" distR="0">
            <wp:extent cx="5930900" cy="3046730"/>
            <wp:effectExtent l="0" t="0" r="0" b="0"/>
            <wp:docPr id="3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5642" w:rsidRPr="00587FB6" w:rsidRDefault="000E5642" w:rsidP="000E5642">
      <w:pPr>
        <w:ind w:firstLine="709"/>
        <w:jc w:val="both"/>
        <w:rPr>
          <w:rFonts w:eastAsia="Arial Unicode MS"/>
          <w:color w:val="000000"/>
          <w:sz w:val="26"/>
          <w:szCs w:val="26"/>
          <w:lang w:val="uk-UA" w:eastAsia="uk-UA"/>
        </w:rPr>
      </w:pPr>
      <w:r w:rsidRPr="00587FB6">
        <w:rPr>
          <w:sz w:val="26"/>
          <w:szCs w:val="26"/>
          <w:lang w:val="uk-UA"/>
        </w:rPr>
        <w:lastRenderedPageBreak/>
        <w:t xml:space="preserve">Слід зазначити, що у зв’язку з </w:t>
      </w:r>
      <w:r w:rsidRPr="00587FB6">
        <w:rPr>
          <w:rFonts w:eastAsia="Arial Unicode MS"/>
          <w:color w:val="000000"/>
          <w:sz w:val="26"/>
          <w:szCs w:val="26"/>
          <w:lang w:val="uk-UA" w:eastAsia="uk-UA"/>
        </w:rPr>
        <w:t>ситуацією, яка складається внаслідок дії карантинних заходів, пов'язаних із поширенням на території України та</w:t>
      </w:r>
      <w:r w:rsidRPr="00587FB6">
        <w:rPr>
          <w:rFonts w:eastAsia="Arial Unicode MS"/>
          <w:color w:val="000000"/>
          <w:sz w:val="26"/>
          <w:szCs w:val="26"/>
          <w:lang w:val="uk-UA" w:eastAsia="uk-UA"/>
        </w:rPr>
        <w:br/>
        <w:t>м. Чернівців короонавірусної інфекції. За звітністю страхувальників міста спостерігається суттєве скорочення (вивільнення) роботодавцями області працівників, їх чисельність у квітні 2020 року зменшилася порівняно з квітнем 2019 року – на 3,6 тис.осіб, тобто зазначена кількість працівників залишилася без офіційного джерела для забезпечення життєдіяльності. Найбільше зменшення чисельності застрахованих осіб зафіксовано у ТзОВ «Аутомотів електрік Україна» (199 осіб), ЧНУ ім Юрія Федьковича (143 особи), ТзОВ «Машзавод» (112 осіб), ЧФ ПАТ «Укртелеком» (97 осіб); ТзОВ «Чернівецький цегельний завод № 3» (94 особи), ТзОВ ВКФ «Балакком» (91 особа), Чернівецька ДАТ «Укрпошта» (77 осіб), ТзОВ «Медико-фармацевтична фірма «Вако»» (69 осіб), та МКП «Чернівцітеплокомуненерго» (39 осіб) та ін.</w:t>
      </w:r>
    </w:p>
    <w:p w:rsidR="000E5642" w:rsidRPr="00587FB6" w:rsidRDefault="000E5642" w:rsidP="000E5642">
      <w:pPr>
        <w:ind w:firstLine="709"/>
        <w:jc w:val="both"/>
        <w:rPr>
          <w:rFonts w:eastAsia="Arial Unicode MS"/>
          <w:color w:val="000000"/>
          <w:sz w:val="26"/>
          <w:szCs w:val="26"/>
          <w:lang w:val="uk-UA" w:eastAsia="uk-UA"/>
        </w:rPr>
      </w:pPr>
      <w:r w:rsidRPr="00587FB6">
        <w:rPr>
          <w:rFonts w:eastAsia="Arial Unicode MS"/>
          <w:color w:val="000000"/>
          <w:sz w:val="26"/>
          <w:szCs w:val="26"/>
          <w:lang w:val="uk-UA" w:eastAsia="uk-UA"/>
        </w:rPr>
        <w:t xml:space="preserve">Середній розмір заробітної плати працівників залишився на рівні минулого року (6875 грн), при тому, що у січні 2020 року темп зростання середньої зарплати становив 112,5% (7352 грн,), у лютому - 110,2% (7540 грн.), при цьому тем зростання гарантованої державою мінімальної заробітної плати становить 113,2%. </w:t>
      </w:r>
    </w:p>
    <w:p w:rsidR="000E5642" w:rsidRPr="00587FB6" w:rsidRDefault="000E5642" w:rsidP="000E5642">
      <w:pPr>
        <w:ind w:firstLine="709"/>
        <w:jc w:val="both"/>
        <w:rPr>
          <w:rFonts w:eastAsia="Arial Unicode MS"/>
          <w:color w:val="000000"/>
          <w:sz w:val="26"/>
          <w:szCs w:val="26"/>
          <w:lang w:val="uk-UA" w:eastAsia="uk-UA"/>
        </w:rPr>
      </w:pPr>
      <w:r w:rsidRPr="00587FB6">
        <w:rPr>
          <w:rFonts w:eastAsia="Arial Unicode MS"/>
          <w:color w:val="000000"/>
          <w:sz w:val="26"/>
          <w:szCs w:val="26"/>
          <w:lang w:val="uk-UA" w:eastAsia="uk-UA"/>
        </w:rPr>
        <w:t>Також на низький розмір заробітної плати вплинув той факт, що велика кількість працівників перебували у відпустах без збереження зарплати.</w:t>
      </w:r>
    </w:p>
    <w:p w:rsidR="000E5642" w:rsidRPr="00587FB6" w:rsidRDefault="000E5642" w:rsidP="000E5642">
      <w:pPr>
        <w:ind w:firstLine="709"/>
        <w:jc w:val="both"/>
        <w:rPr>
          <w:rFonts w:eastAsia="Arial Unicode MS"/>
          <w:color w:val="000000"/>
          <w:sz w:val="26"/>
          <w:szCs w:val="26"/>
          <w:lang w:val="uk-UA" w:eastAsia="uk-UA"/>
        </w:rPr>
      </w:pPr>
      <w:r w:rsidRPr="00587FB6">
        <w:rPr>
          <w:rFonts w:eastAsia="Arial Unicode MS"/>
          <w:color w:val="000000"/>
          <w:sz w:val="26"/>
          <w:szCs w:val="26"/>
          <w:lang w:val="uk-UA" w:eastAsia="uk-UA"/>
        </w:rPr>
        <w:t>Перелічені вище фактори вплинули також на недотримання доходів до місцевого бюджету.</w:t>
      </w:r>
    </w:p>
    <w:p w:rsidR="000E5642" w:rsidRPr="00587FB6" w:rsidRDefault="000E5642" w:rsidP="000E5642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Суб’єкти малого і середнього підприємництва міста формують складову бюджетів усіх рівнів, зокрема міського бюджету. За даними Чернівецького управління ГУ ДФС у Чернівецькій області за 6 місяців 2020 року обсяг надходжень до міського бюджету від діяльності суб’єктів малого та середнього бізнесу становив 369 707,4 тис. грн., або 54,0%  до загального обсягу надходжень. Порівняно з показником аналогічного періоду 2019 року (327 811,2 тис. грн), сума надходжень  збільшилась на 41 896,2 тис. грн. або 12,8%.</w:t>
      </w:r>
    </w:p>
    <w:p w:rsidR="000E5642" w:rsidRPr="00587FB6" w:rsidRDefault="000E5642" w:rsidP="000E5642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Динаміка обсягу надходжень до міського бюджету від діяльності суб’єктів малого і середнього підприємництва м. Чернівці за 2017-2020 роки наведена в діаграмі 4.</w:t>
      </w:r>
    </w:p>
    <w:p w:rsidR="000E5642" w:rsidRPr="00587FB6" w:rsidRDefault="000E5642" w:rsidP="000E5642">
      <w:pPr>
        <w:tabs>
          <w:tab w:val="left" w:pos="0"/>
        </w:tabs>
        <w:ind w:firstLine="709"/>
        <w:jc w:val="right"/>
        <w:rPr>
          <w:b/>
          <w:sz w:val="26"/>
          <w:szCs w:val="26"/>
          <w:lang w:val="uk-UA"/>
        </w:rPr>
      </w:pPr>
    </w:p>
    <w:p w:rsidR="000E5642" w:rsidRPr="00587FB6" w:rsidRDefault="000E5642" w:rsidP="000E5642">
      <w:pPr>
        <w:tabs>
          <w:tab w:val="left" w:pos="0"/>
        </w:tabs>
        <w:ind w:firstLine="709"/>
        <w:jc w:val="right"/>
        <w:rPr>
          <w:szCs w:val="26"/>
          <w:lang w:val="uk-UA"/>
        </w:rPr>
      </w:pPr>
      <w:r w:rsidRPr="00587FB6">
        <w:rPr>
          <w:b/>
          <w:szCs w:val="26"/>
          <w:lang w:val="uk-UA"/>
        </w:rPr>
        <w:t>Діаграма 4</w:t>
      </w:r>
    </w:p>
    <w:p w:rsidR="000E5642" w:rsidRPr="00587FB6" w:rsidRDefault="000E5642" w:rsidP="000E5642">
      <w:pPr>
        <w:tabs>
          <w:tab w:val="left" w:pos="0"/>
        </w:tabs>
        <w:ind w:firstLine="709"/>
        <w:jc w:val="both"/>
        <w:rPr>
          <w:sz w:val="26"/>
          <w:szCs w:val="26"/>
          <w:lang w:val="uk-UA"/>
        </w:rPr>
      </w:pPr>
    </w:p>
    <w:p w:rsidR="000E5642" w:rsidRPr="00587FB6" w:rsidRDefault="000E5642" w:rsidP="000E5642">
      <w:pPr>
        <w:tabs>
          <w:tab w:val="left" w:pos="0"/>
        </w:tabs>
        <w:jc w:val="center"/>
        <w:rPr>
          <w:b/>
          <w:sz w:val="26"/>
          <w:szCs w:val="26"/>
          <w:u w:val="single"/>
          <w:lang w:val="uk-UA"/>
        </w:rPr>
      </w:pPr>
      <w:r w:rsidRPr="00587FB6">
        <w:rPr>
          <w:b/>
          <w:sz w:val="26"/>
          <w:szCs w:val="26"/>
          <w:u w:val="single"/>
          <w:lang w:val="uk-UA"/>
        </w:rPr>
        <w:t>Обсяг надходжень до міського бюджету від діяльності суб’єктів  малого і</w:t>
      </w:r>
    </w:p>
    <w:p w:rsidR="000E5642" w:rsidRPr="00587FB6" w:rsidRDefault="000E5642" w:rsidP="000E5642">
      <w:pPr>
        <w:tabs>
          <w:tab w:val="left" w:pos="0"/>
        </w:tabs>
        <w:jc w:val="center"/>
        <w:rPr>
          <w:b/>
          <w:sz w:val="26"/>
          <w:szCs w:val="26"/>
          <w:lang w:val="uk-UA"/>
        </w:rPr>
      </w:pPr>
      <w:r w:rsidRPr="00587FB6">
        <w:rPr>
          <w:b/>
          <w:sz w:val="26"/>
          <w:szCs w:val="26"/>
          <w:u w:val="single"/>
          <w:lang w:val="uk-UA"/>
        </w:rPr>
        <w:t>середнього підприємництва м. Чернівців</w:t>
      </w:r>
    </w:p>
    <w:p w:rsidR="000E5642" w:rsidRPr="00587FB6" w:rsidRDefault="0041234D" w:rsidP="000E5642">
      <w:pPr>
        <w:tabs>
          <w:tab w:val="left" w:pos="0"/>
        </w:tabs>
        <w:jc w:val="both"/>
        <w:rPr>
          <w:sz w:val="26"/>
          <w:szCs w:val="26"/>
          <w:highlight w:val="yellow"/>
          <w:lang w:val="uk-UA"/>
        </w:rPr>
      </w:pPr>
      <w:r w:rsidRPr="00587FB6">
        <w:rPr>
          <w:noProof/>
          <w:sz w:val="26"/>
          <w:szCs w:val="26"/>
          <w:lang w:val="en-US" w:eastAsia="en-US"/>
        </w:rPr>
        <w:drawing>
          <wp:inline distT="0" distB="0" distL="0" distR="0">
            <wp:extent cx="5976620" cy="2360930"/>
            <wp:effectExtent l="0" t="0" r="0" b="0"/>
            <wp:docPr id="4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E5642" w:rsidRPr="00587FB6" w:rsidRDefault="000E5642" w:rsidP="000E5642">
      <w:pPr>
        <w:tabs>
          <w:tab w:val="left" w:pos="0"/>
        </w:tabs>
        <w:ind w:firstLine="709"/>
        <w:jc w:val="both"/>
        <w:rPr>
          <w:bCs/>
          <w:sz w:val="26"/>
          <w:szCs w:val="26"/>
          <w:lang w:val="uk-UA"/>
        </w:rPr>
      </w:pPr>
      <w:r w:rsidRPr="00587FB6">
        <w:rPr>
          <w:bCs/>
          <w:sz w:val="26"/>
          <w:szCs w:val="26"/>
          <w:lang w:val="uk-UA"/>
        </w:rPr>
        <w:lastRenderedPageBreak/>
        <w:t>Для забезпечення дерегуляції господарської діяльності, надання суб’єктам підприємництва та населенню міста своєчасних та якісних адміністративних послуг, забезпечено функціонування міського Центру надання адміністративних послуг.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Для покращення обслуговування платників податків функціонує Центр обслуговування платників податків з видачі довідок, дозвільних документів, прийому податкової звітності та надання інформаційних послуг. Упродовж січня – червня 2020 року Центром обслуговування прийнято понад 30 тисяч платників податків. З початку року надано відвідувачам 14612 консультаційних послуг 14558 адміністративних (прийом звітності, вхідних документів, та інші). В рамках інноваційної програми «Тет-а-тет з податківцем» надаються консультації в режимі «он-лайн». 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Впроваджуються заходи щодо легалізації тіньової зайнятості осіб та виплати заробітної плати найманим працівникам у сфері малого і середнього бізнесу. У І півріччі поточного року проведено 6 засідань міської робочої групи з питань легалізації виплати заробітної плати та зайнятості населення </w:t>
      </w:r>
      <w:r w:rsidRPr="00587FB6">
        <w:rPr>
          <w:sz w:val="26"/>
          <w:szCs w:val="26"/>
          <w:lang w:val="uk-UA"/>
        </w:rPr>
        <w:br/>
        <w:t xml:space="preserve">м. Чернівців, опрацьовані матеріали щодо 13 підприємств, на яких, за даними Чернівецького управління ГУ ДФС у Чернівецькій області та Головного управління Пенсійного фонду України в Чернівецькій області середньомісячна заробітна плата найманим працівникам нарахована у розмірах, нижче законодавчо встановленої мінімальної заробітної плати. Заслухано представників 4 підприємств, що відносяться до різних видів економічної діяльності. 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Відповідно до постанови Кабінету Міністрів України від 26.04.2017р. №295 «Деякі питання реалізації статті 295 Кодексу законів про працю України та статті 34 Закону України «Про місцеве самоврядування в Україні». Для забезпечення проведення інформаційно-роз’яснювальної роботи на об’єктах здійснення господарської діяльності, упродовж січня-червня 2020 року мобільною робочою групою проведено 5 інспекційних відвідування підприємств міста, фізичних осіб-підприємців та 259 відвідувань з інформаційно-роз’яснювальною роботою щодо порядку оформлення трудових відносин, необхідності дотримання мінімальних гарантій з оплати праці, відповідальності за порушення трудового законодавства. 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З метою підвищення поінформованості безробітних про стан ринку праці та перспективи розвитку підприємництва проведено інформаційно-роз’яснювальну роботу з питань легалізації тіньової зайнятості та заробітної плати в малому і середньому бізнесі під час проведення масових заходів, зокрема: 11 інформаційно-роз’яснювальних семінарів для 132 роботодавців; </w:t>
      </w:r>
      <w:r w:rsidRPr="00587FB6">
        <w:rPr>
          <w:sz w:val="26"/>
          <w:szCs w:val="26"/>
          <w:lang w:val="uk-UA"/>
        </w:rPr>
        <w:br/>
        <w:t xml:space="preserve">1 презентації за участю 2 роботодавців для 21 шукача роботи; відвідані 275 підприємства, установи та організації, яким надано консультації з питань діючого законодавства; 2 міні-ярмарки вакансій за участю 14 роботодавців та 479 шукачів роботи. 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Проводиться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діяльності, забезпечення самостійної зайнятості. З метою підвищення поінформованості безробітних про стан ринку праці та перспективи розвитку підприємств в регіоні, ознайомлення з законодавчими аспектам та організаційно-правовими формами підприємницької діяльності, систематично організовуються тематичні семінари, під час яких ознайомлюють учасників із </w:t>
      </w:r>
      <w:r w:rsidRPr="00587FB6">
        <w:rPr>
          <w:sz w:val="26"/>
          <w:szCs w:val="26"/>
          <w:lang w:val="uk-UA"/>
        </w:rPr>
        <w:lastRenderedPageBreak/>
        <w:t>основами ведення самостійного господарювання, його різновидами, дають слушні поради як уникнути типових помилок.</w:t>
      </w:r>
    </w:p>
    <w:p w:rsidR="000E5642" w:rsidRPr="00587FB6" w:rsidRDefault="000E5642" w:rsidP="000E5642">
      <w:pPr>
        <w:ind w:firstLine="709"/>
        <w:jc w:val="both"/>
        <w:rPr>
          <w:rStyle w:val="apple-style-span"/>
          <w:sz w:val="26"/>
          <w:szCs w:val="26"/>
          <w:lang w:val="uk-UA"/>
        </w:rPr>
      </w:pPr>
      <w:r w:rsidRPr="00587FB6">
        <w:rPr>
          <w:rStyle w:val="apple-style-span"/>
          <w:sz w:val="26"/>
          <w:szCs w:val="26"/>
          <w:lang w:val="uk-UA"/>
        </w:rPr>
        <w:t>Протягом звітного періоду проведено 2 семінари «Генеруй бізнес-ідею – розпочни свій бізнес» за участю 46 шукачів роботи.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rStyle w:val="apple-style-span"/>
          <w:sz w:val="26"/>
          <w:szCs w:val="26"/>
          <w:lang w:val="uk-UA"/>
        </w:rPr>
        <w:t xml:space="preserve">Безробітні проходять навчання на курсах «Основи підприємницької діяльності», на яких вчяться правильно складати бізнес-план, організовувати підприємницьку діяльність, вести розрахунки по руху грошових коштів, вивчають нюанси успішного бізнесу. </w:t>
      </w:r>
      <w:r w:rsidRPr="00587FB6">
        <w:rPr>
          <w:sz w:val="26"/>
          <w:szCs w:val="26"/>
          <w:lang w:val="uk-UA"/>
        </w:rPr>
        <w:t>За сприяння Чернівецької міської філії Чернівецького обласного центру зайнятості впродовж січня – червня 2020 року для роботи у сфері малого бізнесу 11 осіб пройшли перепідготовку та стажування, 2 осіб отримали одноразову виплату допомоги по безробіттю для організації підприємницької діяльності на суму більше 130  тис. грн.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Проведення земельних торгів у формі аукціону проводиться відповідно до Закону України «Про внесення змін до Земельного кодексу України щодо порядку проведення земельних торгів у формі аукціону» від 05.07.2012р. </w:t>
      </w:r>
      <w:r w:rsidRPr="00587FB6">
        <w:rPr>
          <w:sz w:val="26"/>
          <w:szCs w:val="26"/>
          <w:lang w:val="uk-UA"/>
        </w:rPr>
        <w:br/>
        <w:t>№ 5077, ст. 135-139 ЗКУ визначена технологія організації та проведення земельних торгів.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Постійно проводиться робота щодо оновлення переліку вільних земельних ділянок несільськогосподарського призначення, які можуть бути використані для містобудівних потреб та інформування суб’єктів підприємництва та всіх зацікавлених осіб про проведення земельних торгів у формі аукціону через засоби масової інформації, мережу Інтернет. 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Також, в базі даних інвестиційних пропозицій представлені пропозиції 8 промислових підприємств міста Чернівців щодо наявності 10 вільних приміщень загальною площею 28 180,3 кв.м, які можуть бути запропоновані для здійснення господарської діяльності.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З метою ознайомлення суб’єктів підприємництва забезпечено вільний доступ до реєстрів пропозицій та інформацій на веб - порталі Чернівецької міської ради в мережі Інтернет. Постійно оприлюднюються оголошення щодо проведення конкурсів (аукціонів) з оренди (продажу) приміщень та земельних ділянок комунальної власності територіальної громади міста. 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  Для оперативного інформування суб’єктів малого і середнього підприємництва на веб-порталі міської ради створено рубрики: «Економіка і бізнес», «Регуляторна політика», «Центр надання адміністративних послуг», «Дозвільний центр», «Аукціони та конкурси», «Інвестиційні конкурси та пропозиції», «Державні закупівлі», в яких розміщуються оголошення та повідомлення відповідно до напрямків діяльності міської ради та її виконавчих органів. </w:t>
      </w:r>
    </w:p>
    <w:p w:rsidR="00587FB6" w:rsidRPr="00587FB6" w:rsidRDefault="00587FB6" w:rsidP="00587FB6">
      <w:pPr>
        <w:ind w:firstLine="708"/>
        <w:jc w:val="both"/>
        <w:rPr>
          <w:color w:val="000000"/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Упродовж</w:t>
      </w:r>
      <w:r w:rsidRPr="00587FB6">
        <w:rPr>
          <w:sz w:val="26"/>
          <w:szCs w:val="26"/>
        </w:rPr>
        <w:t xml:space="preserve"> </w:t>
      </w:r>
      <w:r w:rsidRPr="00587FB6">
        <w:rPr>
          <w:color w:val="000000"/>
          <w:sz w:val="26"/>
          <w:szCs w:val="26"/>
          <w:lang w:val="uk-UA"/>
        </w:rPr>
        <w:t xml:space="preserve">дії Програми відбулися заходи, спрямовані на розвиток бізнесу та покращення інвестиційно-інноваційної діяльності. </w:t>
      </w:r>
    </w:p>
    <w:p w:rsidR="00587FB6" w:rsidRPr="00587FB6" w:rsidRDefault="00587FB6" w:rsidP="00587FB6">
      <w:pPr>
        <w:ind w:firstLine="708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На виконання заходів з реалізації Програми розроблено та рішенням Чернівецької міської ради VІІ скликання від 28.03.2019 року № 1700 прийнято   регуляторний акт «Про затвердження  Порядку використання коштів, передбачених Програмою розвитку  малого та середнього підприємництва в місті Чернівцях на 2019 - 2020 роки, на часткову компенсацію з міського бюджету відсоткових ставок за кредитами, що надаються на реалізацію проектів суб’єктам малого та середнього підприємництва міста Чернівців»</w:t>
      </w:r>
    </w:p>
    <w:p w:rsidR="00587FB6" w:rsidRPr="00587FB6" w:rsidRDefault="00587FB6" w:rsidP="00587FB6">
      <w:pPr>
        <w:ind w:firstLine="708"/>
        <w:jc w:val="both"/>
        <w:rPr>
          <w:sz w:val="26"/>
          <w:szCs w:val="26"/>
          <w:lang w:val="uk-UA"/>
        </w:rPr>
      </w:pPr>
      <w:r w:rsidRPr="00587FB6">
        <w:rPr>
          <w:color w:val="000000"/>
          <w:sz w:val="26"/>
          <w:szCs w:val="26"/>
          <w:lang w:val="uk-UA"/>
        </w:rPr>
        <w:lastRenderedPageBreak/>
        <w:t>З метою ознайомлення суб’єктів підприємництва міста з правилами підготовки пропозицій та подальшої участі у грантових проектах</w:t>
      </w:r>
      <w:r w:rsidRPr="00587FB6">
        <w:rPr>
          <w:color w:val="000000"/>
          <w:sz w:val="26"/>
          <w:szCs w:val="26"/>
        </w:rPr>
        <w:t xml:space="preserve"> </w:t>
      </w:r>
      <w:r w:rsidRPr="00587FB6">
        <w:rPr>
          <w:color w:val="000000"/>
          <w:sz w:val="26"/>
          <w:szCs w:val="26"/>
          <w:lang w:val="uk-UA"/>
        </w:rPr>
        <w:t>для підприємців міста організовано та проведено Чернівецький Регіональний Форум «Бізнес можливості 2.0» з питань державного фінансування інноваційних стартапів; ЄБРР: можливості інноваційних проектів МСБ у рамках програми Європейської комісії «Горизонт-2020».</w:t>
      </w:r>
    </w:p>
    <w:p w:rsidR="00587FB6" w:rsidRPr="00587FB6" w:rsidRDefault="00587FB6" w:rsidP="00587FB6">
      <w:pPr>
        <w:ind w:firstLine="708"/>
        <w:jc w:val="both"/>
        <w:rPr>
          <w:color w:val="000000"/>
          <w:sz w:val="26"/>
          <w:szCs w:val="26"/>
          <w:lang w:val="uk-UA"/>
        </w:rPr>
      </w:pPr>
      <w:r w:rsidRPr="00587FB6">
        <w:rPr>
          <w:color w:val="000000"/>
          <w:sz w:val="26"/>
          <w:szCs w:val="26"/>
          <w:lang w:val="uk-UA"/>
        </w:rPr>
        <w:t xml:space="preserve">В рамках цього заходу обговорено можливості залучення грантових коштів ЄС інноваційними малими та середніми підприємствами у розвиток виробництва. </w:t>
      </w:r>
    </w:p>
    <w:p w:rsidR="00587FB6" w:rsidRPr="00587FB6" w:rsidRDefault="00587FB6" w:rsidP="00587FB6">
      <w:pPr>
        <w:pStyle w:val="a5"/>
        <w:ind w:firstLine="708"/>
        <w:rPr>
          <w:sz w:val="26"/>
          <w:szCs w:val="26"/>
        </w:rPr>
      </w:pPr>
      <w:r w:rsidRPr="00587FB6">
        <w:rPr>
          <w:color w:val="000000"/>
          <w:sz w:val="26"/>
          <w:szCs w:val="26"/>
        </w:rPr>
        <w:t>Д</w:t>
      </w:r>
      <w:r w:rsidRPr="00587FB6">
        <w:rPr>
          <w:sz w:val="26"/>
          <w:szCs w:val="26"/>
        </w:rPr>
        <w:t xml:space="preserve">ля керівників малого та середнього бізнесу проведено семінар на тему </w:t>
      </w:r>
      <w:r w:rsidRPr="00587FB6">
        <w:rPr>
          <w:bCs/>
          <w:sz w:val="26"/>
          <w:szCs w:val="26"/>
        </w:rPr>
        <w:t xml:space="preserve">«Правила ІНКОТЕРМС 2020 у Україні. Які умови поставки товарів на експорт та імпорт діятимуть з 1 січня 2020 року» </w:t>
      </w:r>
    </w:p>
    <w:p w:rsidR="00587FB6" w:rsidRPr="00587FB6" w:rsidRDefault="00587FB6" w:rsidP="00587FB6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З метою активізації міжрегіонального та транскордонного співробітництва</w:t>
      </w:r>
      <w:r w:rsidRPr="00587FB6">
        <w:rPr>
          <w:sz w:val="26"/>
          <w:szCs w:val="26"/>
        </w:rPr>
        <w:t xml:space="preserve"> </w:t>
      </w:r>
      <w:r w:rsidRPr="00587FB6">
        <w:rPr>
          <w:sz w:val="26"/>
          <w:szCs w:val="26"/>
          <w:lang w:val="uk-UA"/>
        </w:rPr>
        <w:t>щодо залучення фінансової допомоги як допоміжного інструменту економічного та соціального розвитку міста, виконавчими органами міської ради суб’єктам підприємництва постійно надається інформація про проведення міжнародних</w:t>
      </w:r>
      <w:r w:rsidRPr="00587FB6">
        <w:rPr>
          <w:sz w:val="26"/>
          <w:szCs w:val="26"/>
        </w:rPr>
        <w:t xml:space="preserve"> </w:t>
      </w:r>
      <w:r w:rsidRPr="00587FB6">
        <w:rPr>
          <w:sz w:val="26"/>
          <w:szCs w:val="26"/>
          <w:lang w:val="uk-UA"/>
        </w:rPr>
        <w:t>ярмарково-виставкових, інвестиційних заходів, економічних форумів шляхом оприлюднення повідомлень на офіційному веб-порталі Чернівецької міської ради, засобах масової інформації, Інтернет-ресурсах тощо.</w:t>
      </w:r>
    </w:p>
    <w:p w:rsidR="00587FB6" w:rsidRPr="00587FB6" w:rsidRDefault="00587FB6" w:rsidP="00587FB6">
      <w:pPr>
        <w:ind w:firstLine="708"/>
        <w:jc w:val="both"/>
        <w:rPr>
          <w:sz w:val="26"/>
          <w:szCs w:val="26"/>
          <w:shd w:val="clear" w:color="auto" w:fill="FFFFFF"/>
          <w:lang w:val="uk-UA"/>
        </w:rPr>
      </w:pPr>
      <w:r w:rsidRPr="00587FB6">
        <w:rPr>
          <w:sz w:val="26"/>
          <w:szCs w:val="26"/>
          <w:shd w:val="clear" w:color="auto" w:fill="FFFFFF"/>
          <w:lang w:val="uk-UA"/>
        </w:rPr>
        <w:t xml:space="preserve">В рамках заходів з реалізації Програми розвитку малого і середнього підприємництва в місті Чернівцях Чернівецька торгово-промислова палата сприяла ПП «StarMax» (виробництво консервованих та маринованих грибів) у встановленні перспективних ділових відносин з румунськими партнерами для забезпечення подальшого збуту продукції в одній із торгових мереж Румунії. </w:t>
      </w:r>
    </w:p>
    <w:p w:rsidR="00587FB6" w:rsidRPr="00587FB6" w:rsidRDefault="00587FB6" w:rsidP="00587FB6">
      <w:pPr>
        <w:ind w:firstLine="708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shd w:val="clear" w:color="auto" w:fill="FFFFFF"/>
          <w:lang w:val="uk-UA"/>
        </w:rPr>
        <w:t>Надана практична допомога ТОВ «Лілак»</w:t>
      </w:r>
      <w:r w:rsidRPr="00587FB6">
        <w:rPr>
          <w:sz w:val="26"/>
          <w:szCs w:val="26"/>
          <w:lang w:val="uk-UA"/>
        </w:rPr>
        <w:t xml:space="preserve"> (виробник класичних та органічних соків) у встановленні взаємовигідних партнерських зв’язків з іноземними виробниками якісної консервної кришки «Metal Twist Off Caps RTO 38» та «Metal Twist Off Caps RTВ 38» для упаковки власної продукції.</w:t>
      </w:r>
    </w:p>
    <w:p w:rsidR="00587FB6" w:rsidRPr="00587FB6" w:rsidRDefault="00587FB6" w:rsidP="00587FB6">
      <w:pPr>
        <w:ind w:firstLine="708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Делегація Чернівецької області ПАТ «Імпульс», </w:t>
      </w:r>
      <w:r w:rsidRPr="00587FB6">
        <w:rPr>
          <w:sz w:val="26"/>
          <w:szCs w:val="26"/>
          <w:lang w:val="uk-UA"/>
        </w:rPr>
        <w:br/>
        <w:t>ПП «Стар-Макс», ТОВ «Стрільчук Транс» та ФОП М.Гулейчук взяла участь в роботі III Тристороннього бізнес - форуму Україна - Румунія - Республіка Молдова: який відбувся в Кишиневі. В рамках Форуму було організовано різнопланове обговорення найбільш важливих питань розвитку торгово-економічного та інвестиційного співробітництва.</w:t>
      </w:r>
    </w:p>
    <w:p w:rsidR="00587FB6" w:rsidRPr="00587FB6" w:rsidRDefault="00587FB6" w:rsidP="00587FB6">
      <w:pPr>
        <w:ind w:firstLine="708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 w:eastAsia="en-US"/>
        </w:rPr>
        <w:t>За посередництва торгово-промислових палат забезпечено доведення до потенційних молдовських клієнтів понад десяти комерційних пропозицій від виробників Чернівецької області</w:t>
      </w:r>
      <w:r w:rsidRPr="00587FB6">
        <w:rPr>
          <w:sz w:val="26"/>
          <w:szCs w:val="26"/>
          <w:lang w:val="uk-UA"/>
        </w:rPr>
        <w:t>.</w:t>
      </w:r>
    </w:p>
    <w:p w:rsidR="00587FB6" w:rsidRPr="00587FB6" w:rsidRDefault="00587FB6" w:rsidP="00587FB6">
      <w:pPr>
        <w:ind w:firstLine="708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На базі Чернівецької ТПП відбувся практичний семінар «Системи управління безпечністю харчових продуктів (ISO 22000:2018). Принципи НАССР».</w:t>
      </w:r>
    </w:p>
    <w:p w:rsidR="000E5642" w:rsidRPr="00587FB6" w:rsidRDefault="000E5642" w:rsidP="00587FB6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У зв’язку з пандемією COVID-19 та запровадженням карантинних заходів на місцевому, національному та міжнародному рівнях, якими обмежено діяльність суб’єктів господарювання департаментом розвитку Чернівецької міської ради створено офіційну сторінку департаменту у вайбер-меседжері, інстаграм-акаунті, телеграм-каналі на яких щодня оприлюднюється важлива інформація для представників малого та середнього бізнесу під час боротьби з COVID-19. 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Започатковано новий онлайн-проект «Короновірус VS бізнес/влада» на якому відбуваються онлайн трансляції обговорень викликів та загроз, з якими стикаються чернівецькі підприємці спікерами яких виступають представники бізнесу та місцевої влади, проведено низку вебінарів на теми: «Будівельна галузь </w:t>
      </w:r>
      <w:r w:rsidRPr="00587FB6">
        <w:rPr>
          <w:sz w:val="26"/>
          <w:szCs w:val="26"/>
          <w:lang w:val="uk-UA"/>
        </w:rPr>
        <w:lastRenderedPageBreak/>
        <w:t>Чернівців: виклики карантину»; «Діяльність бізнес-підприємств, в тому числі й сфери обслуговування в період карантину (на досвіді «Bacara Coffee»); «Сплата орендної плати в умовах карантину»; «Бізнес у період карантину, досвід компанії «TOR-BA», проведення бізнес інтерв’ю на тему «Побудова ефективної стратегії масштабування», «ІТ в епоху коронавірусу: як справляється індустрія»; «Маркетинг в цифрах»; «Калинівський ринок під час карантину», «Що буде з українським туризмом після карантину?».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Започатковано новий проєкт «Чернівецькі креативні індустрії 4.0: Економіка 2.0» в рамках якого проведено вебінари на тему «Нереальні мрії Шерстобітова. Гемдизайн без комп’ютера»; «Робототехніка з нуля; її історія, та про сучасних роботів»; «Брендинг, який ми заслужили»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Відкрито «гарячу лінію» для підприємців міста за якою чернівчани та підприємці мають можливість отримати консультацію з приводу підприємництва та його законодавчого забезпечення, дізнаватися про доступні в межах міста види діяльності та нюанси, пов’язані з їх організацією,  отримувати вичерпну інформацію про адміністративні послуги, які забезпечуються Чернівецькою міською радою. 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Дуже важливим є максимально можливе пом'якшення наслідків та створення сприятливого середовища для діяльності підприємців, оскільки від цього залежить майбутнє економіки Чернівців, а також всіх добробут та фінансове становище всіх громадян, які є робітниками і отримують зарплату від бізнесу чи з бюджету, що наповнюється бізнесом. Кожен придбаний твар місцевого товаровиробника - це пряма інвестиція у розвиток міста. Це нові робочі місця, податки до бюджету та добробут громади.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>З метою допомоги Чернівецьким товаровиробникам Департамент розвитку Чернівецької міської ради  в партнерстві з Чернівецьким ІТ-кластером «Cluster bit» ініціював і запустив програму «Made in Chernivtsi».</w:t>
      </w:r>
    </w:p>
    <w:p w:rsidR="000E5642" w:rsidRPr="00587FB6" w:rsidRDefault="000E5642" w:rsidP="000E5642">
      <w:pPr>
        <w:ind w:firstLine="709"/>
        <w:jc w:val="both"/>
        <w:rPr>
          <w:sz w:val="26"/>
          <w:szCs w:val="26"/>
          <w:lang w:val="uk-UA"/>
        </w:rPr>
      </w:pPr>
      <w:r w:rsidRPr="00587FB6">
        <w:rPr>
          <w:sz w:val="26"/>
          <w:szCs w:val="26"/>
          <w:lang w:val="uk-UA"/>
        </w:rPr>
        <w:t xml:space="preserve">«Made in Chernivtsi» це серія різноманітних інформаційних проектів направлених на підтримку локальних товаровиробників, а саме навчальні програми, інтернет-каталоги, рекламні компанії, допомога в експортних можливостях. </w:t>
      </w:r>
    </w:p>
    <w:p w:rsidR="00F309C3" w:rsidRPr="00587FB6" w:rsidRDefault="00F309C3" w:rsidP="009729E7">
      <w:pPr>
        <w:ind w:firstLine="708"/>
        <w:jc w:val="both"/>
        <w:rPr>
          <w:noProof/>
          <w:color w:val="000000"/>
          <w:sz w:val="26"/>
          <w:szCs w:val="26"/>
          <w:shd w:val="clear" w:color="auto" w:fill="FFFFFF"/>
          <w:lang w:val="uk-UA"/>
        </w:rPr>
      </w:pPr>
      <w:r w:rsidRPr="00587FB6">
        <w:rPr>
          <w:noProof/>
          <w:color w:val="000000"/>
          <w:sz w:val="26"/>
          <w:szCs w:val="26"/>
          <w:shd w:val="clear" w:color="auto" w:fill="FFFFFF"/>
          <w:lang w:val="uk-UA"/>
        </w:rPr>
        <w:t>На даний час сформовано проект Програми розвитку малого і середнього підприємництва в місті Чернівцях на 20</w:t>
      </w:r>
      <w:r w:rsidR="000E5642" w:rsidRPr="00587FB6">
        <w:rPr>
          <w:noProof/>
          <w:color w:val="000000"/>
          <w:sz w:val="26"/>
          <w:szCs w:val="26"/>
          <w:shd w:val="clear" w:color="auto" w:fill="FFFFFF"/>
          <w:lang w:val="uk-UA"/>
        </w:rPr>
        <w:t>21</w:t>
      </w:r>
      <w:r w:rsidRPr="00587FB6">
        <w:rPr>
          <w:noProof/>
          <w:color w:val="000000"/>
          <w:sz w:val="26"/>
          <w:szCs w:val="26"/>
          <w:shd w:val="clear" w:color="auto" w:fill="FFFFFF"/>
          <w:lang w:val="uk-UA"/>
        </w:rPr>
        <w:t>-202</w:t>
      </w:r>
      <w:r w:rsidR="000E5642" w:rsidRPr="00587FB6">
        <w:rPr>
          <w:noProof/>
          <w:color w:val="000000"/>
          <w:sz w:val="26"/>
          <w:szCs w:val="26"/>
          <w:shd w:val="clear" w:color="auto" w:fill="FFFFFF"/>
          <w:lang w:val="uk-UA"/>
        </w:rPr>
        <w:t>2</w:t>
      </w:r>
      <w:r w:rsidRPr="00587FB6">
        <w:rPr>
          <w:noProof/>
          <w:color w:val="000000"/>
          <w:sz w:val="26"/>
          <w:szCs w:val="26"/>
          <w:shd w:val="clear" w:color="auto" w:fill="FFFFFF"/>
          <w:lang w:val="uk-UA"/>
        </w:rPr>
        <w:t xml:space="preserve"> роки, робота в цьому напрямку буде продовжена.</w:t>
      </w:r>
    </w:p>
    <w:p w:rsidR="00F309C3" w:rsidRPr="00C56C4F" w:rsidRDefault="00F309C3" w:rsidP="009729E7">
      <w:pPr>
        <w:ind w:firstLine="708"/>
        <w:jc w:val="both"/>
        <w:rPr>
          <w:noProof/>
          <w:color w:val="000000"/>
          <w:shd w:val="clear" w:color="auto" w:fill="FFFFFF"/>
          <w:lang w:val="uk-UA"/>
        </w:rPr>
      </w:pPr>
    </w:p>
    <w:p w:rsidR="00F309C3" w:rsidRPr="00C56C4F" w:rsidRDefault="00F309C3" w:rsidP="009729E7">
      <w:pPr>
        <w:ind w:firstLine="708"/>
        <w:jc w:val="both"/>
        <w:rPr>
          <w:noProof/>
          <w:color w:val="000000"/>
          <w:shd w:val="clear" w:color="auto" w:fill="FFFFFF"/>
          <w:lang w:val="uk-UA"/>
        </w:rPr>
      </w:pPr>
    </w:p>
    <w:p w:rsidR="00F309C3" w:rsidRPr="00C56C4F" w:rsidRDefault="00F309C3" w:rsidP="009729E7">
      <w:pPr>
        <w:ind w:firstLine="708"/>
        <w:jc w:val="both"/>
        <w:rPr>
          <w:noProof/>
          <w:color w:val="000000"/>
          <w:shd w:val="clear" w:color="auto" w:fill="FFFFFF"/>
          <w:lang w:val="uk-UA"/>
        </w:rPr>
      </w:pPr>
    </w:p>
    <w:p w:rsidR="000E5642" w:rsidRDefault="00F309C3" w:rsidP="00F309C3">
      <w:pPr>
        <w:jc w:val="both"/>
        <w:rPr>
          <w:b/>
          <w:noProof/>
          <w:color w:val="000000"/>
          <w:shd w:val="clear" w:color="auto" w:fill="FFFFFF"/>
          <w:lang w:val="uk-UA"/>
        </w:rPr>
      </w:pPr>
      <w:r w:rsidRPr="00C56C4F">
        <w:rPr>
          <w:b/>
          <w:noProof/>
          <w:color w:val="000000"/>
          <w:shd w:val="clear" w:color="auto" w:fill="FFFFFF"/>
          <w:lang w:val="uk-UA"/>
        </w:rPr>
        <w:t xml:space="preserve">Директор </w:t>
      </w:r>
      <w:r w:rsidR="000E5642">
        <w:rPr>
          <w:b/>
          <w:noProof/>
          <w:color w:val="000000"/>
          <w:shd w:val="clear" w:color="auto" w:fill="FFFFFF"/>
          <w:lang w:val="uk-UA"/>
        </w:rPr>
        <w:t xml:space="preserve">департаменту розвитку </w:t>
      </w:r>
    </w:p>
    <w:p w:rsidR="00F309C3" w:rsidRPr="00C56C4F" w:rsidRDefault="000E5642" w:rsidP="00977390">
      <w:pPr>
        <w:jc w:val="both"/>
        <w:rPr>
          <w:b/>
          <w:lang w:val="uk-UA"/>
        </w:rPr>
      </w:pPr>
      <w:r>
        <w:rPr>
          <w:b/>
          <w:noProof/>
          <w:color w:val="000000"/>
          <w:shd w:val="clear" w:color="auto" w:fill="FFFFFF"/>
          <w:lang w:val="uk-UA"/>
        </w:rPr>
        <w:t xml:space="preserve">міської ради                                                                                                                  </w:t>
      </w:r>
      <w:r w:rsidR="00F309C3" w:rsidRPr="00C56C4F">
        <w:rPr>
          <w:b/>
          <w:noProof/>
          <w:color w:val="000000"/>
          <w:shd w:val="clear" w:color="auto" w:fill="FFFFFF"/>
          <w:lang w:val="uk-UA"/>
        </w:rPr>
        <w:t>В.Гавриш</w:t>
      </w:r>
    </w:p>
    <w:sectPr w:rsidR="00F309C3" w:rsidRPr="00C56C4F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49" w:rsidRDefault="00DC0849">
      <w:r>
        <w:separator/>
      </w:r>
    </w:p>
  </w:endnote>
  <w:endnote w:type="continuationSeparator" w:id="0">
    <w:p w:rsidR="00DC0849" w:rsidRDefault="00D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CJK SC Regular">
    <w:altName w:val="Times New Roman"/>
    <w:charset w:val="01"/>
    <w:family w:val="auto"/>
    <w:pitch w:val="variable"/>
  </w:font>
  <w:font w:name="FreeSans">
    <w:altName w:val="Times New Roman"/>
    <w:charset w:val="01"/>
    <w:family w:val="roman"/>
    <w:pitch w:val="default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49" w:rsidRDefault="00DC0849">
      <w:r>
        <w:separator/>
      </w:r>
    </w:p>
  </w:footnote>
  <w:footnote w:type="continuationSeparator" w:id="0">
    <w:p w:rsidR="00DC0849" w:rsidRDefault="00DC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7F0" w:rsidRDefault="001377F0" w:rsidP="00FF5E8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377F0" w:rsidRDefault="001377F0" w:rsidP="001377F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7F0" w:rsidRDefault="001377F0" w:rsidP="00FF5E8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234D">
      <w:rPr>
        <w:rStyle w:val="a4"/>
        <w:noProof/>
      </w:rPr>
      <w:t>2</w:t>
    </w:r>
    <w:r>
      <w:rPr>
        <w:rStyle w:val="a4"/>
      </w:rPr>
      <w:fldChar w:fldCharType="end"/>
    </w:r>
  </w:p>
  <w:p w:rsidR="001377F0" w:rsidRDefault="001377F0" w:rsidP="001377F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3F"/>
    <w:rsid w:val="000017C2"/>
    <w:rsid w:val="00002FF4"/>
    <w:rsid w:val="00004BD0"/>
    <w:rsid w:val="00005E07"/>
    <w:rsid w:val="000067DD"/>
    <w:rsid w:val="0001018B"/>
    <w:rsid w:val="00011F74"/>
    <w:rsid w:val="000128E1"/>
    <w:rsid w:val="00014CD6"/>
    <w:rsid w:val="0001515E"/>
    <w:rsid w:val="00016AE7"/>
    <w:rsid w:val="00023797"/>
    <w:rsid w:val="00031EA6"/>
    <w:rsid w:val="0003200B"/>
    <w:rsid w:val="000372D4"/>
    <w:rsid w:val="000410CE"/>
    <w:rsid w:val="00041822"/>
    <w:rsid w:val="00042EE3"/>
    <w:rsid w:val="0004470E"/>
    <w:rsid w:val="00047B50"/>
    <w:rsid w:val="00054834"/>
    <w:rsid w:val="00060043"/>
    <w:rsid w:val="0006347F"/>
    <w:rsid w:val="000701BF"/>
    <w:rsid w:val="000712BE"/>
    <w:rsid w:val="00071ABE"/>
    <w:rsid w:val="00072B24"/>
    <w:rsid w:val="000731C8"/>
    <w:rsid w:val="000737FE"/>
    <w:rsid w:val="00074428"/>
    <w:rsid w:val="00074EDA"/>
    <w:rsid w:val="000772EE"/>
    <w:rsid w:val="00077576"/>
    <w:rsid w:val="0008076D"/>
    <w:rsid w:val="00084DF4"/>
    <w:rsid w:val="00087338"/>
    <w:rsid w:val="00087AEA"/>
    <w:rsid w:val="00090327"/>
    <w:rsid w:val="00091F0A"/>
    <w:rsid w:val="000934E0"/>
    <w:rsid w:val="00093DD1"/>
    <w:rsid w:val="000A2927"/>
    <w:rsid w:val="000A465A"/>
    <w:rsid w:val="000B069D"/>
    <w:rsid w:val="000B53A8"/>
    <w:rsid w:val="000B71C3"/>
    <w:rsid w:val="000C00A4"/>
    <w:rsid w:val="000C080C"/>
    <w:rsid w:val="000C4CAE"/>
    <w:rsid w:val="000C7BCC"/>
    <w:rsid w:val="000D282B"/>
    <w:rsid w:val="000D62C7"/>
    <w:rsid w:val="000E5642"/>
    <w:rsid w:val="000E7E44"/>
    <w:rsid w:val="000F01F4"/>
    <w:rsid w:val="000F5327"/>
    <w:rsid w:val="000F5ACD"/>
    <w:rsid w:val="000F5C96"/>
    <w:rsid w:val="000F763A"/>
    <w:rsid w:val="0010138B"/>
    <w:rsid w:val="00101ECB"/>
    <w:rsid w:val="00106419"/>
    <w:rsid w:val="00110103"/>
    <w:rsid w:val="00114437"/>
    <w:rsid w:val="001202F4"/>
    <w:rsid w:val="001213B3"/>
    <w:rsid w:val="0013087C"/>
    <w:rsid w:val="00131523"/>
    <w:rsid w:val="00131642"/>
    <w:rsid w:val="001377F0"/>
    <w:rsid w:val="0014354A"/>
    <w:rsid w:val="0014457E"/>
    <w:rsid w:val="00144F7E"/>
    <w:rsid w:val="00146253"/>
    <w:rsid w:val="00147999"/>
    <w:rsid w:val="001502A6"/>
    <w:rsid w:val="00157E10"/>
    <w:rsid w:val="00160D04"/>
    <w:rsid w:val="00163EEE"/>
    <w:rsid w:val="00163F15"/>
    <w:rsid w:val="001647D2"/>
    <w:rsid w:val="001650E8"/>
    <w:rsid w:val="00175EE0"/>
    <w:rsid w:val="00176933"/>
    <w:rsid w:val="00177E98"/>
    <w:rsid w:val="00182C02"/>
    <w:rsid w:val="00186487"/>
    <w:rsid w:val="00187D4C"/>
    <w:rsid w:val="001930BC"/>
    <w:rsid w:val="001963F6"/>
    <w:rsid w:val="001A59C0"/>
    <w:rsid w:val="001A6BF2"/>
    <w:rsid w:val="001A7FD4"/>
    <w:rsid w:val="001B23B4"/>
    <w:rsid w:val="001B2A9D"/>
    <w:rsid w:val="001C32BB"/>
    <w:rsid w:val="001C5404"/>
    <w:rsid w:val="001C5BFE"/>
    <w:rsid w:val="001C77FF"/>
    <w:rsid w:val="001D0F30"/>
    <w:rsid w:val="001D20C1"/>
    <w:rsid w:val="001D2666"/>
    <w:rsid w:val="001D4164"/>
    <w:rsid w:val="001D45D5"/>
    <w:rsid w:val="001D45F8"/>
    <w:rsid w:val="001D6FDE"/>
    <w:rsid w:val="001D7176"/>
    <w:rsid w:val="001D71BA"/>
    <w:rsid w:val="001D7B86"/>
    <w:rsid w:val="001E152E"/>
    <w:rsid w:val="001E43BE"/>
    <w:rsid w:val="001E5291"/>
    <w:rsid w:val="001E567E"/>
    <w:rsid w:val="001F0B12"/>
    <w:rsid w:val="001F32E5"/>
    <w:rsid w:val="001F6B05"/>
    <w:rsid w:val="001F798C"/>
    <w:rsid w:val="001F7A15"/>
    <w:rsid w:val="00200A15"/>
    <w:rsid w:val="00202DC1"/>
    <w:rsid w:val="002060EA"/>
    <w:rsid w:val="00210C53"/>
    <w:rsid w:val="00211477"/>
    <w:rsid w:val="00212CAC"/>
    <w:rsid w:val="00213255"/>
    <w:rsid w:val="002157FC"/>
    <w:rsid w:val="00216619"/>
    <w:rsid w:val="00221EF5"/>
    <w:rsid w:val="0022390E"/>
    <w:rsid w:val="00223A8C"/>
    <w:rsid w:val="0022456A"/>
    <w:rsid w:val="00224AAE"/>
    <w:rsid w:val="00230A7C"/>
    <w:rsid w:val="00233B94"/>
    <w:rsid w:val="00235220"/>
    <w:rsid w:val="002362EA"/>
    <w:rsid w:val="00236B79"/>
    <w:rsid w:val="00240A5B"/>
    <w:rsid w:val="002415D5"/>
    <w:rsid w:val="00241AFF"/>
    <w:rsid w:val="00242B61"/>
    <w:rsid w:val="00242C66"/>
    <w:rsid w:val="00243193"/>
    <w:rsid w:val="002500C3"/>
    <w:rsid w:val="00250F07"/>
    <w:rsid w:val="00256299"/>
    <w:rsid w:val="002564B5"/>
    <w:rsid w:val="00257414"/>
    <w:rsid w:val="002608E3"/>
    <w:rsid w:val="0026349B"/>
    <w:rsid w:val="002674CF"/>
    <w:rsid w:val="00267EC2"/>
    <w:rsid w:val="00273178"/>
    <w:rsid w:val="002731E6"/>
    <w:rsid w:val="002768E5"/>
    <w:rsid w:val="002806CD"/>
    <w:rsid w:val="00282CFF"/>
    <w:rsid w:val="002907DA"/>
    <w:rsid w:val="002912EA"/>
    <w:rsid w:val="00292DC2"/>
    <w:rsid w:val="00293E8C"/>
    <w:rsid w:val="00295DFE"/>
    <w:rsid w:val="002A1C28"/>
    <w:rsid w:val="002A23DB"/>
    <w:rsid w:val="002A3335"/>
    <w:rsid w:val="002A34E1"/>
    <w:rsid w:val="002A3708"/>
    <w:rsid w:val="002A3B71"/>
    <w:rsid w:val="002A3FE0"/>
    <w:rsid w:val="002A60AC"/>
    <w:rsid w:val="002A677E"/>
    <w:rsid w:val="002A68FF"/>
    <w:rsid w:val="002A6CAA"/>
    <w:rsid w:val="002A6CF2"/>
    <w:rsid w:val="002A6F37"/>
    <w:rsid w:val="002B1D42"/>
    <w:rsid w:val="002B1D52"/>
    <w:rsid w:val="002B3852"/>
    <w:rsid w:val="002B6DE9"/>
    <w:rsid w:val="002B7193"/>
    <w:rsid w:val="002B734D"/>
    <w:rsid w:val="002B73A3"/>
    <w:rsid w:val="002C05F7"/>
    <w:rsid w:val="002C10F6"/>
    <w:rsid w:val="002C3AEC"/>
    <w:rsid w:val="002C600B"/>
    <w:rsid w:val="002D1FF9"/>
    <w:rsid w:val="002D2CB1"/>
    <w:rsid w:val="002D6D1C"/>
    <w:rsid w:val="002E083B"/>
    <w:rsid w:val="002E1E69"/>
    <w:rsid w:val="002E4EFB"/>
    <w:rsid w:val="002E799E"/>
    <w:rsid w:val="002E7B54"/>
    <w:rsid w:val="002F1A2E"/>
    <w:rsid w:val="002F1CFA"/>
    <w:rsid w:val="002F4591"/>
    <w:rsid w:val="002F6836"/>
    <w:rsid w:val="003045C5"/>
    <w:rsid w:val="003068DC"/>
    <w:rsid w:val="00312103"/>
    <w:rsid w:val="00315CBB"/>
    <w:rsid w:val="0032119E"/>
    <w:rsid w:val="00323626"/>
    <w:rsid w:val="003256DF"/>
    <w:rsid w:val="00327E23"/>
    <w:rsid w:val="00330D3A"/>
    <w:rsid w:val="00333BBF"/>
    <w:rsid w:val="00333C7F"/>
    <w:rsid w:val="00335B74"/>
    <w:rsid w:val="003370DA"/>
    <w:rsid w:val="0034136F"/>
    <w:rsid w:val="00341EDE"/>
    <w:rsid w:val="003448C0"/>
    <w:rsid w:val="00345B04"/>
    <w:rsid w:val="00346A6A"/>
    <w:rsid w:val="003510FE"/>
    <w:rsid w:val="00352C46"/>
    <w:rsid w:val="00353050"/>
    <w:rsid w:val="00356F1A"/>
    <w:rsid w:val="00357554"/>
    <w:rsid w:val="00361417"/>
    <w:rsid w:val="0036323E"/>
    <w:rsid w:val="0036416D"/>
    <w:rsid w:val="003654CE"/>
    <w:rsid w:val="00366192"/>
    <w:rsid w:val="00367707"/>
    <w:rsid w:val="00367E5B"/>
    <w:rsid w:val="00367F38"/>
    <w:rsid w:val="00371D46"/>
    <w:rsid w:val="003730DB"/>
    <w:rsid w:val="003731A0"/>
    <w:rsid w:val="00375B7C"/>
    <w:rsid w:val="0037673D"/>
    <w:rsid w:val="00377698"/>
    <w:rsid w:val="00377A81"/>
    <w:rsid w:val="00382C4C"/>
    <w:rsid w:val="003857C5"/>
    <w:rsid w:val="00390B57"/>
    <w:rsid w:val="00391FF5"/>
    <w:rsid w:val="00397237"/>
    <w:rsid w:val="003A28E7"/>
    <w:rsid w:val="003B03E2"/>
    <w:rsid w:val="003B0DD8"/>
    <w:rsid w:val="003B1E6D"/>
    <w:rsid w:val="003B5FCA"/>
    <w:rsid w:val="003C57D3"/>
    <w:rsid w:val="003C778F"/>
    <w:rsid w:val="003D45A7"/>
    <w:rsid w:val="003D6FC9"/>
    <w:rsid w:val="003E4AAE"/>
    <w:rsid w:val="003F591D"/>
    <w:rsid w:val="003F5DAD"/>
    <w:rsid w:val="003F7D96"/>
    <w:rsid w:val="00400CED"/>
    <w:rsid w:val="00402484"/>
    <w:rsid w:val="00403681"/>
    <w:rsid w:val="00405DA1"/>
    <w:rsid w:val="004122C2"/>
    <w:rsid w:val="0041234D"/>
    <w:rsid w:val="004131C4"/>
    <w:rsid w:val="00413977"/>
    <w:rsid w:val="004176E5"/>
    <w:rsid w:val="0042097F"/>
    <w:rsid w:val="00422791"/>
    <w:rsid w:val="00424CC3"/>
    <w:rsid w:val="00433048"/>
    <w:rsid w:val="0043324F"/>
    <w:rsid w:val="00437F2D"/>
    <w:rsid w:val="0044484C"/>
    <w:rsid w:val="00447EB6"/>
    <w:rsid w:val="004541FD"/>
    <w:rsid w:val="004613C2"/>
    <w:rsid w:val="00463DF7"/>
    <w:rsid w:val="0046425D"/>
    <w:rsid w:val="0047056C"/>
    <w:rsid w:val="00470912"/>
    <w:rsid w:val="00470FC3"/>
    <w:rsid w:val="004737B8"/>
    <w:rsid w:val="00474A7A"/>
    <w:rsid w:val="00477F34"/>
    <w:rsid w:val="004807B1"/>
    <w:rsid w:val="00485B28"/>
    <w:rsid w:val="004875A1"/>
    <w:rsid w:val="00491798"/>
    <w:rsid w:val="00491B49"/>
    <w:rsid w:val="004971D5"/>
    <w:rsid w:val="004A1B07"/>
    <w:rsid w:val="004A3350"/>
    <w:rsid w:val="004A5BD3"/>
    <w:rsid w:val="004A6D8F"/>
    <w:rsid w:val="004B0645"/>
    <w:rsid w:val="004B34DA"/>
    <w:rsid w:val="004B4B79"/>
    <w:rsid w:val="004B55DC"/>
    <w:rsid w:val="004B64C4"/>
    <w:rsid w:val="004B7478"/>
    <w:rsid w:val="004C0DD8"/>
    <w:rsid w:val="004C261B"/>
    <w:rsid w:val="004C4182"/>
    <w:rsid w:val="004D0FA5"/>
    <w:rsid w:val="004D41DB"/>
    <w:rsid w:val="004D57B6"/>
    <w:rsid w:val="004E00E4"/>
    <w:rsid w:val="004E01BF"/>
    <w:rsid w:val="004E13EA"/>
    <w:rsid w:val="004E376E"/>
    <w:rsid w:val="004E3DF1"/>
    <w:rsid w:val="004E70CC"/>
    <w:rsid w:val="004E76D4"/>
    <w:rsid w:val="004F203F"/>
    <w:rsid w:val="004F2CDC"/>
    <w:rsid w:val="00502248"/>
    <w:rsid w:val="005041F3"/>
    <w:rsid w:val="00504E83"/>
    <w:rsid w:val="00504F16"/>
    <w:rsid w:val="0050684F"/>
    <w:rsid w:val="0050687E"/>
    <w:rsid w:val="005072D4"/>
    <w:rsid w:val="0051002D"/>
    <w:rsid w:val="00513191"/>
    <w:rsid w:val="00522A93"/>
    <w:rsid w:val="005232D8"/>
    <w:rsid w:val="005254ED"/>
    <w:rsid w:val="005262E0"/>
    <w:rsid w:val="005273AD"/>
    <w:rsid w:val="0053091A"/>
    <w:rsid w:val="00535783"/>
    <w:rsid w:val="00536DE8"/>
    <w:rsid w:val="0053741E"/>
    <w:rsid w:val="00537644"/>
    <w:rsid w:val="00550C44"/>
    <w:rsid w:val="0055196C"/>
    <w:rsid w:val="00560245"/>
    <w:rsid w:val="00562B1D"/>
    <w:rsid w:val="00562BA2"/>
    <w:rsid w:val="005664B8"/>
    <w:rsid w:val="00566F1D"/>
    <w:rsid w:val="005712FD"/>
    <w:rsid w:val="0057239C"/>
    <w:rsid w:val="00572B73"/>
    <w:rsid w:val="00573477"/>
    <w:rsid w:val="005737FA"/>
    <w:rsid w:val="00574F07"/>
    <w:rsid w:val="00577534"/>
    <w:rsid w:val="0058385D"/>
    <w:rsid w:val="00584134"/>
    <w:rsid w:val="0058438A"/>
    <w:rsid w:val="005870DB"/>
    <w:rsid w:val="00587FB6"/>
    <w:rsid w:val="00590DD5"/>
    <w:rsid w:val="00592D13"/>
    <w:rsid w:val="00595EFD"/>
    <w:rsid w:val="005A16CE"/>
    <w:rsid w:val="005A270D"/>
    <w:rsid w:val="005A5B03"/>
    <w:rsid w:val="005B0066"/>
    <w:rsid w:val="005B0D97"/>
    <w:rsid w:val="005B1E4F"/>
    <w:rsid w:val="005B3B59"/>
    <w:rsid w:val="005B4E06"/>
    <w:rsid w:val="005B708C"/>
    <w:rsid w:val="005C0E75"/>
    <w:rsid w:val="005C435D"/>
    <w:rsid w:val="005C63E4"/>
    <w:rsid w:val="005C6F6C"/>
    <w:rsid w:val="005C73E4"/>
    <w:rsid w:val="005D0AB6"/>
    <w:rsid w:val="005D4DE3"/>
    <w:rsid w:val="005D7705"/>
    <w:rsid w:val="005D7A38"/>
    <w:rsid w:val="005E0DA4"/>
    <w:rsid w:val="005E2D75"/>
    <w:rsid w:val="005E3236"/>
    <w:rsid w:val="005E7819"/>
    <w:rsid w:val="005F29BE"/>
    <w:rsid w:val="005F29D7"/>
    <w:rsid w:val="005F6540"/>
    <w:rsid w:val="00604C64"/>
    <w:rsid w:val="00605DA3"/>
    <w:rsid w:val="006111E6"/>
    <w:rsid w:val="00611C1D"/>
    <w:rsid w:val="00612CA5"/>
    <w:rsid w:val="0061642B"/>
    <w:rsid w:val="0061724A"/>
    <w:rsid w:val="0062295F"/>
    <w:rsid w:val="00622AD8"/>
    <w:rsid w:val="00623BDA"/>
    <w:rsid w:val="00623C8B"/>
    <w:rsid w:val="00624288"/>
    <w:rsid w:val="00625E3C"/>
    <w:rsid w:val="00630AC7"/>
    <w:rsid w:val="0063105A"/>
    <w:rsid w:val="006313DD"/>
    <w:rsid w:val="0063659B"/>
    <w:rsid w:val="006401D5"/>
    <w:rsid w:val="00640403"/>
    <w:rsid w:val="00640F45"/>
    <w:rsid w:val="0064671C"/>
    <w:rsid w:val="00651B45"/>
    <w:rsid w:val="00654DB9"/>
    <w:rsid w:val="00660BD5"/>
    <w:rsid w:val="00661428"/>
    <w:rsid w:val="0066425B"/>
    <w:rsid w:val="00666F8D"/>
    <w:rsid w:val="0066736A"/>
    <w:rsid w:val="00672D4A"/>
    <w:rsid w:val="0067481B"/>
    <w:rsid w:val="00676474"/>
    <w:rsid w:val="0068241A"/>
    <w:rsid w:val="00684858"/>
    <w:rsid w:val="006867D0"/>
    <w:rsid w:val="00687830"/>
    <w:rsid w:val="00690D88"/>
    <w:rsid w:val="00693E12"/>
    <w:rsid w:val="006946F2"/>
    <w:rsid w:val="00694E7B"/>
    <w:rsid w:val="00695E74"/>
    <w:rsid w:val="006A0D4B"/>
    <w:rsid w:val="006A1086"/>
    <w:rsid w:val="006A2437"/>
    <w:rsid w:val="006A42D8"/>
    <w:rsid w:val="006B03DE"/>
    <w:rsid w:val="006B0B8F"/>
    <w:rsid w:val="006B341A"/>
    <w:rsid w:val="006B384F"/>
    <w:rsid w:val="006B4242"/>
    <w:rsid w:val="006C0BEE"/>
    <w:rsid w:val="006C1298"/>
    <w:rsid w:val="006C213D"/>
    <w:rsid w:val="006C380C"/>
    <w:rsid w:val="006C40B1"/>
    <w:rsid w:val="006C432E"/>
    <w:rsid w:val="006C4C0D"/>
    <w:rsid w:val="006D39EA"/>
    <w:rsid w:val="006D3E5F"/>
    <w:rsid w:val="006D6056"/>
    <w:rsid w:val="006E1F71"/>
    <w:rsid w:val="006E2E65"/>
    <w:rsid w:val="006E3DC8"/>
    <w:rsid w:val="006E7271"/>
    <w:rsid w:val="006E730A"/>
    <w:rsid w:val="006E7BB2"/>
    <w:rsid w:val="006F00E3"/>
    <w:rsid w:val="006F05FF"/>
    <w:rsid w:val="006F07FA"/>
    <w:rsid w:val="006F0A66"/>
    <w:rsid w:val="006F3B25"/>
    <w:rsid w:val="006F5DCA"/>
    <w:rsid w:val="0070103B"/>
    <w:rsid w:val="0070210B"/>
    <w:rsid w:val="00704B16"/>
    <w:rsid w:val="00704C3E"/>
    <w:rsid w:val="007054F3"/>
    <w:rsid w:val="00706549"/>
    <w:rsid w:val="0070799A"/>
    <w:rsid w:val="00707FC8"/>
    <w:rsid w:val="007104F4"/>
    <w:rsid w:val="00711200"/>
    <w:rsid w:val="007162A0"/>
    <w:rsid w:val="0072407C"/>
    <w:rsid w:val="00724575"/>
    <w:rsid w:val="0072591E"/>
    <w:rsid w:val="00726743"/>
    <w:rsid w:val="007404FA"/>
    <w:rsid w:val="00743FE6"/>
    <w:rsid w:val="00746DD9"/>
    <w:rsid w:val="007503AA"/>
    <w:rsid w:val="00750A99"/>
    <w:rsid w:val="00750FC9"/>
    <w:rsid w:val="00751DFC"/>
    <w:rsid w:val="00764C07"/>
    <w:rsid w:val="007663A0"/>
    <w:rsid w:val="00766EAB"/>
    <w:rsid w:val="00770AA9"/>
    <w:rsid w:val="00772627"/>
    <w:rsid w:val="0077314B"/>
    <w:rsid w:val="00776DFB"/>
    <w:rsid w:val="00776ECB"/>
    <w:rsid w:val="00781D6A"/>
    <w:rsid w:val="00783F8D"/>
    <w:rsid w:val="00784C8E"/>
    <w:rsid w:val="007869F1"/>
    <w:rsid w:val="00791517"/>
    <w:rsid w:val="007948CE"/>
    <w:rsid w:val="007961BE"/>
    <w:rsid w:val="007967F4"/>
    <w:rsid w:val="007968C5"/>
    <w:rsid w:val="007A22F1"/>
    <w:rsid w:val="007A2B85"/>
    <w:rsid w:val="007A6AEA"/>
    <w:rsid w:val="007A6E2F"/>
    <w:rsid w:val="007B0E30"/>
    <w:rsid w:val="007B5483"/>
    <w:rsid w:val="007C3D47"/>
    <w:rsid w:val="007C5D59"/>
    <w:rsid w:val="007C724E"/>
    <w:rsid w:val="007D5E87"/>
    <w:rsid w:val="007D7E25"/>
    <w:rsid w:val="007D7F95"/>
    <w:rsid w:val="007E07A6"/>
    <w:rsid w:val="007E2C1E"/>
    <w:rsid w:val="007E772A"/>
    <w:rsid w:val="007F0FBA"/>
    <w:rsid w:val="007F37F8"/>
    <w:rsid w:val="007F3B17"/>
    <w:rsid w:val="007F4EDD"/>
    <w:rsid w:val="00801F44"/>
    <w:rsid w:val="008055C0"/>
    <w:rsid w:val="00805D00"/>
    <w:rsid w:val="00806F77"/>
    <w:rsid w:val="00810E3F"/>
    <w:rsid w:val="008153DB"/>
    <w:rsid w:val="00817CAC"/>
    <w:rsid w:val="00822839"/>
    <w:rsid w:val="00826FD3"/>
    <w:rsid w:val="00832448"/>
    <w:rsid w:val="00833798"/>
    <w:rsid w:val="00836F6C"/>
    <w:rsid w:val="00837A7C"/>
    <w:rsid w:val="00840964"/>
    <w:rsid w:val="0084317B"/>
    <w:rsid w:val="00845684"/>
    <w:rsid w:val="00847051"/>
    <w:rsid w:val="0085166A"/>
    <w:rsid w:val="0085775A"/>
    <w:rsid w:val="00862E1E"/>
    <w:rsid w:val="00864603"/>
    <w:rsid w:val="00864A35"/>
    <w:rsid w:val="00864AE2"/>
    <w:rsid w:val="0086714E"/>
    <w:rsid w:val="00867911"/>
    <w:rsid w:val="00870A96"/>
    <w:rsid w:val="00877F94"/>
    <w:rsid w:val="0088143F"/>
    <w:rsid w:val="00881FA5"/>
    <w:rsid w:val="008911E2"/>
    <w:rsid w:val="00894DCD"/>
    <w:rsid w:val="008A3F0C"/>
    <w:rsid w:val="008A3FBA"/>
    <w:rsid w:val="008A6C7C"/>
    <w:rsid w:val="008B2BE0"/>
    <w:rsid w:val="008B30A2"/>
    <w:rsid w:val="008B5F6A"/>
    <w:rsid w:val="008B64F8"/>
    <w:rsid w:val="008B77C1"/>
    <w:rsid w:val="008C03A4"/>
    <w:rsid w:val="008C2610"/>
    <w:rsid w:val="008C7ADE"/>
    <w:rsid w:val="008D5161"/>
    <w:rsid w:val="008D6072"/>
    <w:rsid w:val="008D6DE5"/>
    <w:rsid w:val="008D6F9E"/>
    <w:rsid w:val="008D7E91"/>
    <w:rsid w:val="008E20BA"/>
    <w:rsid w:val="008E5A5A"/>
    <w:rsid w:val="008E61AF"/>
    <w:rsid w:val="008E6711"/>
    <w:rsid w:val="008E6916"/>
    <w:rsid w:val="008E7C17"/>
    <w:rsid w:val="008F0849"/>
    <w:rsid w:val="008F260C"/>
    <w:rsid w:val="008F33D9"/>
    <w:rsid w:val="008F4AE6"/>
    <w:rsid w:val="008F613E"/>
    <w:rsid w:val="008F64A0"/>
    <w:rsid w:val="008F741E"/>
    <w:rsid w:val="0090005B"/>
    <w:rsid w:val="00902B4A"/>
    <w:rsid w:val="00906725"/>
    <w:rsid w:val="00907B7C"/>
    <w:rsid w:val="0091021F"/>
    <w:rsid w:val="009150FB"/>
    <w:rsid w:val="00920F94"/>
    <w:rsid w:val="00921FCF"/>
    <w:rsid w:val="00930704"/>
    <w:rsid w:val="009311FC"/>
    <w:rsid w:val="00932198"/>
    <w:rsid w:val="00933F6C"/>
    <w:rsid w:val="00936DB2"/>
    <w:rsid w:val="00937F40"/>
    <w:rsid w:val="00940B98"/>
    <w:rsid w:val="00941874"/>
    <w:rsid w:val="00941C86"/>
    <w:rsid w:val="00942FED"/>
    <w:rsid w:val="00947A97"/>
    <w:rsid w:val="00947FDB"/>
    <w:rsid w:val="00955B3A"/>
    <w:rsid w:val="0095702D"/>
    <w:rsid w:val="00961320"/>
    <w:rsid w:val="009631E3"/>
    <w:rsid w:val="0096381B"/>
    <w:rsid w:val="00967B6E"/>
    <w:rsid w:val="00971848"/>
    <w:rsid w:val="009729E7"/>
    <w:rsid w:val="0097393E"/>
    <w:rsid w:val="0097632A"/>
    <w:rsid w:val="00977390"/>
    <w:rsid w:val="009851D3"/>
    <w:rsid w:val="00990944"/>
    <w:rsid w:val="009932B9"/>
    <w:rsid w:val="00994F20"/>
    <w:rsid w:val="00995D1A"/>
    <w:rsid w:val="009A380F"/>
    <w:rsid w:val="009A45C2"/>
    <w:rsid w:val="009A49E1"/>
    <w:rsid w:val="009A7C5C"/>
    <w:rsid w:val="009B201F"/>
    <w:rsid w:val="009B34FB"/>
    <w:rsid w:val="009B698B"/>
    <w:rsid w:val="009C0C3C"/>
    <w:rsid w:val="009C7A83"/>
    <w:rsid w:val="009D41D1"/>
    <w:rsid w:val="009D421E"/>
    <w:rsid w:val="009D5AF0"/>
    <w:rsid w:val="009E0463"/>
    <w:rsid w:val="009E1776"/>
    <w:rsid w:val="009E1E52"/>
    <w:rsid w:val="009E273C"/>
    <w:rsid w:val="009F3C75"/>
    <w:rsid w:val="00A0583F"/>
    <w:rsid w:val="00A11B66"/>
    <w:rsid w:val="00A133B0"/>
    <w:rsid w:val="00A142A2"/>
    <w:rsid w:val="00A15BF3"/>
    <w:rsid w:val="00A17A65"/>
    <w:rsid w:val="00A22D08"/>
    <w:rsid w:val="00A231D6"/>
    <w:rsid w:val="00A23ECC"/>
    <w:rsid w:val="00A2598D"/>
    <w:rsid w:val="00A2790D"/>
    <w:rsid w:val="00A306E5"/>
    <w:rsid w:val="00A30FD5"/>
    <w:rsid w:val="00A313DF"/>
    <w:rsid w:val="00A37A30"/>
    <w:rsid w:val="00A37F8B"/>
    <w:rsid w:val="00A40F4B"/>
    <w:rsid w:val="00A411DB"/>
    <w:rsid w:val="00A422AA"/>
    <w:rsid w:val="00A43806"/>
    <w:rsid w:val="00A44385"/>
    <w:rsid w:val="00A46EFD"/>
    <w:rsid w:val="00A47177"/>
    <w:rsid w:val="00A50B3F"/>
    <w:rsid w:val="00A61D27"/>
    <w:rsid w:val="00A61F53"/>
    <w:rsid w:val="00A63A46"/>
    <w:rsid w:val="00A64C31"/>
    <w:rsid w:val="00A652A0"/>
    <w:rsid w:val="00A6696A"/>
    <w:rsid w:val="00A71BF5"/>
    <w:rsid w:val="00A72E58"/>
    <w:rsid w:val="00A7391D"/>
    <w:rsid w:val="00A73C6B"/>
    <w:rsid w:val="00A74255"/>
    <w:rsid w:val="00A7434E"/>
    <w:rsid w:val="00A77D1F"/>
    <w:rsid w:val="00A859A4"/>
    <w:rsid w:val="00A860BC"/>
    <w:rsid w:val="00A87612"/>
    <w:rsid w:val="00A93A65"/>
    <w:rsid w:val="00A945E1"/>
    <w:rsid w:val="00A94C22"/>
    <w:rsid w:val="00A96041"/>
    <w:rsid w:val="00AA16E9"/>
    <w:rsid w:val="00AA3168"/>
    <w:rsid w:val="00AA5FE7"/>
    <w:rsid w:val="00AA67F4"/>
    <w:rsid w:val="00AB0F45"/>
    <w:rsid w:val="00AB1149"/>
    <w:rsid w:val="00AB1226"/>
    <w:rsid w:val="00AB2FAF"/>
    <w:rsid w:val="00AB6FE7"/>
    <w:rsid w:val="00AC117F"/>
    <w:rsid w:val="00AC310F"/>
    <w:rsid w:val="00AC4496"/>
    <w:rsid w:val="00AC57E0"/>
    <w:rsid w:val="00AD4C2D"/>
    <w:rsid w:val="00AE4C93"/>
    <w:rsid w:val="00AF08AE"/>
    <w:rsid w:val="00B0476F"/>
    <w:rsid w:val="00B04F12"/>
    <w:rsid w:val="00B06820"/>
    <w:rsid w:val="00B119BB"/>
    <w:rsid w:val="00B1430B"/>
    <w:rsid w:val="00B1589C"/>
    <w:rsid w:val="00B21EA8"/>
    <w:rsid w:val="00B23DAF"/>
    <w:rsid w:val="00B26928"/>
    <w:rsid w:val="00B313F6"/>
    <w:rsid w:val="00B34B12"/>
    <w:rsid w:val="00B36F6C"/>
    <w:rsid w:val="00B41BFA"/>
    <w:rsid w:val="00B43D27"/>
    <w:rsid w:val="00B46216"/>
    <w:rsid w:val="00B47697"/>
    <w:rsid w:val="00B56291"/>
    <w:rsid w:val="00B6043F"/>
    <w:rsid w:val="00B60FBF"/>
    <w:rsid w:val="00B62C58"/>
    <w:rsid w:val="00B64EF8"/>
    <w:rsid w:val="00B72559"/>
    <w:rsid w:val="00B769B8"/>
    <w:rsid w:val="00B76FA1"/>
    <w:rsid w:val="00B85524"/>
    <w:rsid w:val="00B9019E"/>
    <w:rsid w:val="00B9029B"/>
    <w:rsid w:val="00B91B9F"/>
    <w:rsid w:val="00B924D2"/>
    <w:rsid w:val="00B93892"/>
    <w:rsid w:val="00B97707"/>
    <w:rsid w:val="00BA2F67"/>
    <w:rsid w:val="00BA4AB7"/>
    <w:rsid w:val="00BB0E23"/>
    <w:rsid w:val="00BB1152"/>
    <w:rsid w:val="00BB157E"/>
    <w:rsid w:val="00BB19F4"/>
    <w:rsid w:val="00BB601E"/>
    <w:rsid w:val="00BB6924"/>
    <w:rsid w:val="00BC1FED"/>
    <w:rsid w:val="00BC7770"/>
    <w:rsid w:val="00BD0A9D"/>
    <w:rsid w:val="00BD14F2"/>
    <w:rsid w:val="00BD2156"/>
    <w:rsid w:val="00BD5D49"/>
    <w:rsid w:val="00BE0EE3"/>
    <w:rsid w:val="00BF27B6"/>
    <w:rsid w:val="00BF495E"/>
    <w:rsid w:val="00C00A41"/>
    <w:rsid w:val="00C01A0D"/>
    <w:rsid w:val="00C03176"/>
    <w:rsid w:val="00C04307"/>
    <w:rsid w:val="00C1174E"/>
    <w:rsid w:val="00C12945"/>
    <w:rsid w:val="00C12B05"/>
    <w:rsid w:val="00C1332B"/>
    <w:rsid w:val="00C14C03"/>
    <w:rsid w:val="00C15DDC"/>
    <w:rsid w:val="00C17090"/>
    <w:rsid w:val="00C17372"/>
    <w:rsid w:val="00C24F5E"/>
    <w:rsid w:val="00C30516"/>
    <w:rsid w:val="00C33C54"/>
    <w:rsid w:val="00C35FD3"/>
    <w:rsid w:val="00C3724C"/>
    <w:rsid w:val="00C37F4C"/>
    <w:rsid w:val="00C47B42"/>
    <w:rsid w:val="00C47F91"/>
    <w:rsid w:val="00C50F94"/>
    <w:rsid w:val="00C514AF"/>
    <w:rsid w:val="00C51DAE"/>
    <w:rsid w:val="00C54CD4"/>
    <w:rsid w:val="00C559D7"/>
    <w:rsid w:val="00C56C4F"/>
    <w:rsid w:val="00C6043E"/>
    <w:rsid w:val="00C6472B"/>
    <w:rsid w:val="00C64C31"/>
    <w:rsid w:val="00C67BB6"/>
    <w:rsid w:val="00C7256F"/>
    <w:rsid w:val="00C73236"/>
    <w:rsid w:val="00C74A06"/>
    <w:rsid w:val="00C80416"/>
    <w:rsid w:val="00C84A1B"/>
    <w:rsid w:val="00C8717B"/>
    <w:rsid w:val="00C87A71"/>
    <w:rsid w:val="00C87D24"/>
    <w:rsid w:val="00C925BB"/>
    <w:rsid w:val="00C94D96"/>
    <w:rsid w:val="00C95C8A"/>
    <w:rsid w:val="00C95F35"/>
    <w:rsid w:val="00CA1659"/>
    <w:rsid w:val="00CA3238"/>
    <w:rsid w:val="00CA3B4A"/>
    <w:rsid w:val="00CA447F"/>
    <w:rsid w:val="00CA49A8"/>
    <w:rsid w:val="00CA5121"/>
    <w:rsid w:val="00CA738E"/>
    <w:rsid w:val="00CB0AA9"/>
    <w:rsid w:val="00CB51B4"/>
    <w:rsid w:val="00CB62DB"/>
    <w:rsid w:val="00CB749B"/>
    <w:rsid w:val="00CC3D8F"/>
    <w:rsid w:val="00CC45CF"/>
    <w:rsid w:val="00CC4E73"/>
    <w:rsid w:val="00CD40FE"/>
    <w:rsid w:val="00CD4974"/>
    <w:rsid w:val="00CD4F94"/>
    <w:rsid w:val="00CE5141"/>
    <w:rsid w:val="00CE59F0"/>
    <w:rsid w:val="00CF7B6F"/>
    <w:rsid w:val="00D017E4"/>
    <w:rsid w:val="00D0194E"/>
    <w:rsid w:val="00D039BF"/>
    <w:rsid w:val="00D04074"/>
    <w:rsid w:val="00D04745"/>
    <w:rsid w:val="00D06054"/>
    <w:rsid w:val="00D0687A"/>
    <w:rsid w:val="00D17C3F"/>
    <w:rsid w:val="00D22008"/>
    <w:rsid w:val="00D25287"/>
    <w:rsid w:val="00D3007B"/>
    <w:rsid w:val="00D3232E"/>
    <w:rsid w:val="00D3424A"/>
    <w:rsid w:val="00D347E1"/>
    <w:rsid w:val="00D34E51"/>
    <w:rsid w:val="00D355ED"/>
    <w:rsid w:val="00D36CF7"/>
    <w:rsid w:val="00D40AF6"/>
    <w:rsid w:val="00D527EF"/>
    <w:rsid w:val="00D66BA4"/>
    <w:rsid w:val="00D705F4"/>
    <w:rsid w:val="00D757A1"/>
    <w:rsid w:val="00D75B61"/>
    <w:rsid w:val="00D768D2"/>
    <w:rsid w:val="00D80678"/>
    <w:rsid w:val="00D84037"/>
    <w:rsid w:val="00D849C1"/>
    <w:rsid w:val="00D85F76"/>
    <w:rsid w:val="00D90011"/>
    <w:rsid w:val="00D94B0E"/>
    <w:rsid w:val="00D95F9D"/>
    <w:rsid w:val="00DA04B7"/>
    <w:rsid w:val="00DA1ED1"/>
    <w:rsid w:val="00DA4B9B"/>
    <w:rsid w:val="00DA4E1A"/>
    <w:rsid w:val="00DA7BE0"/>
    <w:rsid w:val="00DB2036"/>
    <w:rsid w:val="00DB4566"/>
    <w:rsid w:val="00DB578D"/>
    <w:rsid w:val="00DB6308"/>
    <w:rsid w:val="00DB6A26"/>
    <w:rsid w:val="00DB6ABB"/>
    <w:rsid w:val="00DC0849"/>
    <w:rsid w:val="00DC2959"/>
    <w:rsid w:val="00DC2C36"/>
    <w:rsid w:val="00DC589D"/>
    <w:rsid w:val="00DD5564"/>
    <w:rsid w:val="00DD79D9"/>
    <w:rsid w:val="00DE025A"/>
    <w:rsid w:val="00DE4B1F"/>
    <w:rsid w:val="00DE6494"/>
    <w:rsid w:val="00DF0F75"/>
    <w:rsid w:val="00DF5020"/>
    <w:rsid w:val="00DF5333"/>
    <w:rsid w:val="00DF564D"/>
    <w:rsid w:val="00DF655A"/>
    <w:rsid w:val="00E05AFE"/>
    <w:rsid w:val="00E065DB"/>
    <w:rsid w:val="00E13924"/>
    <w:rsid w:val="00E147C4"/>
    <w:rsid w:val="00E14E59"/>
    <w:rsid w:val="00E14E64"/>
    <w:rsid w:val="00E16A35"/>
    <w:rsid w:val="00E21A48"/>
    <w:rsid w:val="00E22BD0"/>
    <w:rsid w:val="00E23CED"/>
    <w:rsid w:val="00E30594"/>
    <w:rsid w:val="00E34D98"/>
    <w:rsid w:val="00E37700"/>
    <w:rsid w:val="00E41C15"/>
    <w:rsid w:val="00E428AF"/>
    <w:rsid w:val="00E42A07"/>
    <w:rsid w:val="00E455D1"/>
    <w:rsid w:val="00E45BCA"/>
    <w:rsid w:val="00E520D5"/>
    <w:rsid w:val="00E53091"/>
    <w:rsid w:val="00E544CD"/>
    <w:rsid w:val="00E559A2"/>
    <w:rsid w:val="00E57473"/>
    <w:rsid w:val="00E637BD"/>
    <w:rsid w:val="00E675E5"/>
    <w:rsid w:val="00E67841"/>
    <w:rsid w:val="00E72893"/>
    <w:rsid w:val="00E73BD3"/>
    <w:rsid w:val="00E76489"/>
    <w:rsid w:val="00E77A32"/>
    <w:rsid w:val="00E8008A"/>
    <w:rsid w:val="00E81B4B"/>
    <w:rsid w:val="00E8668C"/>
    <w:rsid w:val="00E87411"/>
    <w:rsid w:val="00E94ABE"/>
    <w:rsid w:val="00E950E4"/>
    <w:rsid w:val="00E95733"/>
    <w:rsid w:val="00EA0F67"/>
    <w:rsid w:val="00EA181B"/>
    <w:rsid w:val="00EB2FC6"/>
    <w:rsid w:val="00EB31DC"/>
    <w:rsid w:val="00EB568B"/>
    <w:rsid w:val="00EB65C0"/>
    <w:rsid w:val="00EB7E11"/>
    <w:rsid w:val="00EC01EA"/>
    <w:rsid w:val="00EC1E10"/>
    <w:rsid w:val="00EC2890"/>
    <w:rsid w:val="00EC2C15"/>
    <w:rsid w:val="00EC4B31"/>
    <w:rsid w:val="00EC4FBD"/>
    <w:rsid w:val="00EC5D1B"/>
    <w:rsid w:val="00EC6A0D"/>
    <w:rsid w:val="00ED0FB4"/>
    <w:rsid w:val="00ED1393"/>
    <w:rsid w:val="00ED2090"/>
    <w:rsid w:val="00ED6032"/>
    <w:rsid w:val="00ED7A4E"/>
    <w:rsid w:val="00EE1CBB"/>
    <w:rsid w:val="00EF3644"/>
    <w:rsid w:val="00EF3BD5"/>
    <w:rsid w:val="00EF5A12"/>
    <w:rsid w:val="00F0557D"/>
    <w:rsid w:val="00F05C35"/>
    <w:rsid w:val="00F1489F"/>
    <w:rsid w:val="00F17387"/>
    <w:rsid w:val="00F233E9"/>
    <w:rsid w:val="00F23DD2"/>
    <w:rsid w:val="00F25511"/>
    <w:rsid w:val="00F27A2D"/>
    <w:rsid w:val="00F302EB"/>
    <w:rsid w:val="00F309C3"/>
    <w:rsid w:val="00F417F9"/>
    <w:rsid w:val="00F432AC"/>
    <w:rsid w:val="00F43443"/>
    <w:rsid w:val="00F45E8A"/>
    <w:rsid w:val="00F640BA"/>
    <w:rsid w:val="00F6548D"/>
    <w:rsid w:val="00F711A1"/>
    <w:rsid w:val="00F73AA8"/>
    <w:rsid w:val="00F7556C"/>
    <w:rsid w:val="00F75D70"/>
    <w:rsid w:val="00F81708"/>
    <w:rsid w:val="00F83D53"/>
    <w:rsid w:val="00F928EF"/>
    <w:rsid w:val="00FA0E87"/>
    <w:rsid w:val="00FA1B36"/>
    <w:rsid w:val="00FA24B7"/>
    <w:rsid w:val="00FA58BE"/>
    <w:rsid w:val="00FB01AE"/>
    <w:rsid w:val="00FC01D3"/>
    <w:rsid w:val="00FC10F9"/>
    <w:rsid w:val="00FC229F"/>
    <w:rsid w:val="00FC3F5A"/>
    <w:rsid w:val="00FC59B7"/>
    <w:rsid w:val="00FD6F3D"/>
    <w:rsid w:val="00FD7FEE"/>
    <w:rsid w:val="00FE1771"/>
    <w:rsid w:val="00FE2A98"/>
    <w:rsid w:val="00FF1566"/>
    <w:rsid w:val="00FF437B"/>
    <w:rsid w:val="00FF5E86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3EC44B-E315-4D5C-9E1D-D913A702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9729E7"/>
  </w:style>
  <w:style w:type="character" w:customStyle="1" w:styleId="rvts23">
    <w:name w:val="rvts23"/>
    <w:basedOn w:val="a0"/>
    <w:rsid w:val="009729E7"/>
  </w:style>
  <w:style w:type="paragraph" w:customStyle="1" w:styleId="Textbody">
    <w:name w:val="Text body"/>
    <w:basedOn w:val="a"/>
    <w:rsid w:val="009729E7"/>
    <w:pPr>
      <w:suppressAutoHyphens/>
      <w:spacing w:after="140" w:line="288" w:lineRule="auto"/>
      <w:textAlignment w:val="baseline"/>
    </w:pPr>
    <w:rPr>
      <w:rFonts w:ascii="Liberation Serif" w:eastAsia="Noto Sans CJK SC Regular" w:hAnsi="Liberation Serif" w:cs="FreeSans"/>
      <w:kern w:val="2"/>
      <w:lang w:val="uk-UA" w:eastAsia="zh-CN" w:bidi="hi-IN"/>
    </w:rPr>
  </w:style>
  <w:style w:type="paragraph" w:customStyle="1" w:styleId="rvps2">
    <w:name w:val="rvps2"/>
    <w:basedOn w:val="a"/>
    <w:rsid w:val="009729E7"/>
    <w:pPr>
      <w:suppressAutoHyphens/>
      <w:spacing w:before="280" w:after="280"/>
      <w:textAlignment w:val="baseline"/>
    </w:pPr>
    <w:rPr>
      <w:rFonts w:ascii="Liberation Serif" w:eastAsia="Noto Sans CJK SC Regular" w:hAnsi="Liberation Serif" w:cs="FreeSans"/>
      <w:kern w:val="2"/>
      <w:lang w:eastAsia="zh-CN" w:bidi="hi-IN"/>
    </w:rPr>
  </w:style>
  <w:style w:type="paragraph" w:styleId="a3">
    <w:name w:val="header"/>
    <w:basedOn w:val="a"/>
    <w:rsid w:val="001377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377F0"/>
  </w:style>
  <w:style w:type="character" w:customStyle="1" w:styleId="apple-style-span">
    <w:name w:val="apple-style-span"/>
    <w:rsid w:val="000E5642"/>
  </w:style>
  <w:style w:type="paragraph" w:styleId="a5">
    <w:name w:val="Body Text"/>
    <w:basedOn w:val="a"/>
    <w:link w:val="a6"/>
    <w:rsid w:val="00587FB6"/>
    <w:pPr>
      <w:jc w:val="both"/>
    </w:pPr>
    <w:rPr>
      <w:sz w:val="28"/>
      <w:lang w:val="uk-UA"/>
    </w:rPr>
  </w:style>
  <w:style w:type="character" w:customStyle="1" w:styleId="a6">
    <w:name w:val="Основной текст Знак"/>
    <w:link w:val="a5"/>
    <w:rsid w:val="00587FB6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5;&#1088;&#1086;&#1075;&#1088;&#1072;&#1084;&#1072;%20&#1088;&#1086;&#1079;&#1074;&#1080;&#1090;&#1082;&#1091;%20&#1084;&#1072;&#1083;&#1086;&#1075;&#1086;%20&#1087;&#1110;&#1076;-&#1074;&#1072;\&#1055;&#1088;&#1086;&#1075;&#1088;&#1072;&#1084;&#1072;%20&#1088;&#1086;&#1079;&#1074;&#1080;&#1090;&#1082;&#1091;%20&#1087;&#1110;&#1076;&#1087;&#1088;&#1080;&#1108;&#1084;&#1085;&#1080;&#1094;&#1090;&#1074;&#1072;%20&#1085;&#1072;%202021-2022%20&#1088;&#1086;&#1082;&#1080;\&#1055;&#1056;&#1054;&#1043;&#1056;&#1040;&#1052;&#1040;%20&#1090;&#1072;%20&#1110;&#1085;&#1092;&#1086;&#1088;&#1084;&#1072;&#1094;&#1110;&#1103;\&#1041;&#1070;&#1044;&#1046;&#1045;&#1058;%20&#1055;&#1056;&#1054;&#1043;&#1056;&#1040;&#1052;&#1048;,%20&#1043;&#1056;&#1040;&#1060;&#1030;&#1050;&#1048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5;&#1088;&#1086;&#1075;&#1088;&#1072;&#1084;&#1072;%20&#1088;&#1086;&#1079;&#1074;&#1080;&#1090;&#1082;&#1091;%20&#1084;&#1072;&#1083;&#1086;&#1075;&#1086;%20&#1087;&#1110;&#1076;-&#1074;&#1072;\&#1055;&#1088;&#1086;&#1075;&#1088;&#1072;&#1084;&#1072;%20&#1088;&#1086;&#1079;&#1074;&#1080;&#1090;&#1082;&#1091;%20&#1087;&#1110;&#1076;&#1087;&#1088;&#1080;&#1108;&#1084;&#1085;&#1080;&#1094;&#1090;&#1074;&#1072;%20&#1085;&#1072;%202021-2022%20&#1088;&#1086;&#1082;&#1080;\&#1041;&#1070;&#1044;&#1046;&#1045;&#1058;%20&#1055;&#1056;&#1054;&#1043;&#1056;&#1040;&#1052;&#1048;,%20&#1043;&#1056;&#1040;&#1060;&#1030;&#1050;&#1048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5;&#1088;&#1086;&#1075;&#1088;&#1072;&#1084;&#1072;%20&#1088;&#1086;&#1079;&#1074;&#1080;&#1090;&#1082;&#1091;%20&#1084;&#1072;&#1083;&#1086;&#1075;&#1086;%20&#1087;&#1110;&#1076;-&#1074;&#1072;\&#1055;&#1088;&#1086;&#1075;&#1088;&#1072;&#1084;&#1072;%20&#1088;&#1086;&#1079;&#1074;&#1080;&#1090;&#1082;&#1091;%20&#1087;&#1110;&#1076;&#1087;&#1088;&#1080;&#1108;&#1084;&#1085;&#1080;&#1094;&#1090;&#1074;&#1072;%20&#1085;&#1072;%202021-2022%20&#1088;&#1086;&#1082;&#1080;\&#1041;&#1070;&#1044;&#1046;&#1045;&#1058;%20&#1055;&#1056;&#1054;&#1043;&#1056;&#1040;&#1052;&#1048;,%20&#1043;&#1056;&#1040;&#1060;&#1030;&#1050;&#1048;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5;&#1088;&#1086;&#1075;&#1088;&#1072;&#1084;&#1072;%20&#1088;&#1086;&#1079;&#1074;&#1080;&#1090;&#1082;&#1091;%20&#1084;&#1072;&#1083;&#1086;&#1075;&#1086;%20&#1087;&#1110;&#1076;-&#1074;&#1072;\&#1055;&#1088;&#1086;&#1075;&#1088;&#1072;&#1084;&#1072;%20&#1088;&#1086;&#1079;&#1074;&#1080;&#1090;&#1082;&#1091;%20&#1087;&#1110;&#1076;&#1087;&#1088;&#1080;&#1108;&#1084;&#1085;&#1080;&#1094;&#1090;&#1074;&#1072;%20&#1085;&#1072;%202021-2022%20&#1088;&#1086;&#1082;&#1080;\&#1041;&#1070;&#1044;&#1046;&#1045;&#1058;%20&#1055;&#1056;&#1054;&#1043;&#1056;&#1040;&#1052;&#1048;,%20&#1043;&#1056;&#1040;&#1060;&#1030;&#1050;&#1048;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Лист2!$B$67</c:f>
              <c:strCache>
                <c:ptCount val="1"/>
                <c:pt idx="0">
                  <c:v>юридичні особи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1-D07A-4C4F-A596-DA5FADECFD36}"/>
              </c:ext>
            </c:extLst>
          </c:dPt>
          <c:dPt>
            <c:idx val="1"/>
            <c:invertIfNegative val="0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3-D07A-4C4F-A596-DA5FADECFD36}"/>
              </c:ext>
            </c:extLst>
          </c:dPt>
          <c:dPt>
            <c:idx val="2"/>
            <c:invertIfNegative val="0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5-D07A-4C4F-A596-DA5FADECFD36}"/>
              </c:ext>
            </c:extLst>
          </c:dPt>
          <c:dPt>
            <c:idx val="3"/>
            <c:invertIfNegative val="0"/>
            <c:bubble3D val="0"/>
            <c:spPr>
              <a:solidFill>
                <a:srgbClr val="FFFF00"/>
              </a:solidFill>
            </c:spPr>
            <c:extLst>
              <c:ext xmlns:c16="http://schemas.microsoft.com/office/drawing/2014/chart" uri="{C3380CC4-5D6E-409C-BE32-E72D297353CC}">
                <c16:uniqueId val="{00000007-D07A-4C4F-A596-DA5FADECFD36}"/>
              </c:ext>
            </c:extLst>
          </c:dPt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Лист2!$C$66:$F$66</c:f>
              <c:strCache>
                <c:ptCount val="4"/>
                <c:pt idx="0">
                  <c:v>2017 рік</c:v>
                </c:pt>
                <c:pt idx="1">
                  <c:v>2018 рік</c:v>
                </c:pt>
                <c:pt idx="2">
                  <c:v>2019 рік</c:v>
                </c:pt>
                <c:pt idx="3">
                  <c:v>9 міс.2020 року</c:v>
                </c:pt>
              </c:strCache>
            </c:strRef>
          </c:cat>
          <c:val>
            <c:numRef>
              <c:f>Лист2!$C$67:$F$67</c:f>
              <c:numCache>
                <c:formatCode>General</c:formatCode>
                <c:ptCount val="4"/>
                <c:pt idx="0">
                  <c:v>573</c:v>
                </c:pt>
                <c:pt idx="1">
                  <c:v>422</c:v>
                </c:pt>
                <c:pt idx="2">
                  <c:v>478</c:v>
                </c:pt>
                <c:pt idx="3">
                  <c:v>256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07A-4C4F-A596-DA5FADECFD36}"/>
            </c:ext>
          </c:extLst>
        </c:ser>
        <c:ser>
          <c:idx val="1"/>
          <c:order val="1"/>
          <c:tx>
            <c:strRef>
              <c:f>Лист2!$B$68</c:f>
              <c:strCache>
                <c:ptCount val="1"/>
                <c:pt idx="0">
                  <c:v>фізичні особи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Лист2!$C$66:$F$66</c:f>
              <c:strCache>
                <c:ptCount val="4"/>
                <c:pt idx="0">
                  <c:v>2017 рік</c:v>
                </c:pt>
                <c:pt idx="1">
                  <c:v>2018 рік</c:v>
                </c:pt>
                <c:pt idx="2">
                  <c:v>2019 рік</c:v>
                </c:pt>
                <c:pt idx="3">
                  <c:v>9 міс.2020 року</c:v>
                </c:pt>
              </c:strCache>
            </c:strRef>
          </c:cat>
          <c:val>
            <c:numRef>
              <c:f>Лист2!$C$68:$F$68</c:f>
              <c:numCache>
                <c:formatCode>General</c:formatCode>
                <c:ptCount val="4"/>
                <c:pt idx="0">
                  <c:v>3678</c:v>
                </c:pt>
                <c:pt idx="1">
                  <c:v>3177</c:v>
                </c:pt>
                <c:pt idx="2">
                  <c:v>3603</c:v>
                </c:pt>
                <c:pt idx="3">
                  <c:v>1742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D07A-4C4F-A596-DA5FADECFD36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144665984"/>
        <c:axId val="144696448"/>
      </c:barChart>
      <c:catAx>
        <c:axId val="1446659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4696448"/>
        <c:crosses val="autoZero"/>
        <c:auto val="1"/>
        <c:lblAlgn val="ctr"/>
        <c:lblOffset val="100"/>
        <c:noMultiLvlLbl val="0"/>
      </c:catAx>
      <c:valAx>
        <c:axId val="1446964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 w="9525">
            <a:noFill/>
          </a:ln>
        </c:spPr>
        <c:crossAx val="14466598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1"/>
          <c:order val="1"/>
          <c:tx>
            <c:strRef>
              <c:f>Лист2!$B$40</c:f>
              <c:strCache>
                <c:ptCount val="1"/>
                <c:pt idx="0">
                  <c:v>малі підприємства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Лист2!$C$38:$E$38</c:f>
              <c:strCache>
                <c:ptCount val="3"/>
                <c:pt idx="0">
                  <c:v>2018 рік</c:v>
                </c:pt>
                <c:pt idx="1">
                  <c:v>2019 рік</c:v>
                </c:pt>
                <c:pt idx="2">
                  <c:v>очікуване 2020 рік</c:v>
                </c:pt>
              </c:strCache>
            </c:strRef>
          </c:cat>
          <c:val>
            <c:numRef>
              <c:f>Лист2!$C$40:$E$40</c:f>
              <c:numCache>
                <c:formatCode>General</c:formatCode>
                <c:ptCount val="3"/>
                <c:pt idx="0">
                  <c:v>25515</c:v>
                </c:pt>
                <c:pt idx="1">
                  <c:v>25724</c:v>
                </c:pt>
                <c:pt idx="2">
                  <c:v>26043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ED-40CB-A863-C7C0B5FEA2C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04671232"/>
        <c:axId val="155525888"/>
      </c:barChart>
      <c:lineChart>
        <c:grouping val="standard"/>
        <c:varyColors val="0"/>
        <c:ser>
          <c:idx val="0"/>
          <c:order val="0"/>
          <c:tx>
            <c:strRef>
              <c:f>Лист2!$B$39</c:f>
              <c:strCache>
                <c:ptCount val="1"/>
                <c:pt idx="0">
                  <c:v>середні підприємства</c:v>
                </c:pt>
              </c:strCache>
            </c:strRef>
          </c:tx>
          <c:marker>
            <c:spPr>
              <a:ln>
                <a:solidFill>
                  <a:srgbClr val="FFFF00"/>
                </a:solidFill>
              </a:ln>
            </c:spPr>
          </c:marker>
          <c:dPt>
            <c:idx val="0"/>
            <c:marker>
              <c:spPr>
                <a:solidFill>
                  <a:srgbClr val="FFFF00"/>
                </a:solidFill>
                <a:ln>
                  <a:solidFill>
                    <a:srgbClr val="FFFF00"/>
                  </a:solidFill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3EED-40CB-A863-C7C0B5FEA2CF}"/>
              </c:ext>
            </c:extLst>
          </c:dPt>
          <c:dPt>
            <c:idx val="1"/>
            <c:marker>
              <c:spPr>
                <a:solidFill>
                  <a:srgbClr val="FFFF00"/>
                </a:solidFill>
                <a:ln>
                  <a:solidFill>
                    <a:srgbClr val="FFFF00"/>
                  </a:solidFill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3EED-40CB-A863-C7C0B5FEA2CF}"/>
              </c:ext>
            </c:extLst>
          </c:dPt>
          <c:dPt>
            <c:idx val="2"/>
            <c:marker>
              <c:spPr>
                <a:solidFill>
                  <a:srgbClr val="FFFF00"/>
                </a:solidFill>
                <a:ln>
                  <a:solidFill>
                    <a:srgbClr val="FFFF00"/>
                  </a:solidFill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3EED-40CB-A863-C7C0B5FEA2CF}"/>
              </c:ext>
            </c:extLst>
          </c:dPt>
          <c:dLbls>
            <c:dLbl>
              <c:idx val="0"/>
              <c:layout>
                <c:manualLayout>
                  <c:x val="-2.7875109361329833E-2"/>
                  <c:y val="-5.0925925925925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EED-40CB-A863-C7C0B5FEA2CF}"/>
                </c:ext>
              </c:extLst>
            </c:dLbl>
            <c:dLbl>
              <c:idx val="1"/>
              <c:layout>
                <c:manualLayout>
                  <c:x val="-2.5097331583552054E-2"/>
                  <c:y val="-6.0185185185185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EED-40CB-A863-C7C0B5FEA2CF}"/>
                </c:ext>
              </c:extLst>
            </c:dLbl>
            <c:dLbl>
              <c:idx val="2"/>
              <c:layout>
                <c:manualLayout>
                  <c:x val="-3.0652887139107611E-2"/>
                  <c:y val="-9.2592592592592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EED-40CB-A863-C7C0B5FEA2CF}"/>
                </c:ext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Лист2!$C$38:$E$38</c:f>
              <c:strCache>
                <c:ptCount val="3"/>
                <c:pt idx="0">
                  <c:v>2018 рік</c:v>
                </c:pt>
                <c:pt idx="1">
                  <c:v>2019 рік</c:v>
                </c:pt>
                <c:pt idx="2">
                  <c:v>очікуване 2020 рік</c:v>
                </c:pt>
              </c:strCache>
            </c:strRef>
          </c:cat>
          <c:val>
            <c:numRef>
              <c:f>Лист2!$C$39:$E$39</c:f>
              <c:numCache>
                <c:formatCode>General</c:formatCode>
                <c:ptCount val="3"/>
                <c:pt idx="0">
                  <c:v>106</c:v>
                </c:pt>
                <c:pt idx="1">
                  <c:v>75</c:v>
                </c:pt>
                <c:pt idx="2">
                  <c:v>118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EED-40CB-A863-C7C0B5FEA2C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4671232"/>
        <c:axId val="155525888"/>
      </c:lineChart>
      <c:catAx>
        <c:axId val="20467123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ln w="9525">
            <a:noFill/>
          </a:ln>
        </c:spPr>
        <c:crossAx val="155525888"/>
        <c:crosses val="autoZero"/>
        <c:auto val="1"/>
        <c:lblAlgn val="ctr"/>
        <c:lblOffset val="100"/>
        <c:noMultiLvlLbl val="0"/>
      </c:catAx>
      <c:valAx>
        <c:axId val="15552588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0467123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  <c:spPr>
        <a:solidFill>
          <a:srgbClr val="FFFF00"/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4760184086578326E-2"/>
          <c:y val="0"/>
          <c:w val="0.88586845027889738"/>
          <c:h val="0.9174829072291889"/>
        </c:manualLayout>
      </c:layout>
      <c:area3DChart>
        <c:grouping val="standard"/>
        <c:varyColors val="0"/>
        <c:ser>
          <c:idx val="0"/>
          <c:order val="0"/>
          <c:tx>
            <c:strRef>
              <c:f>Лист2!$B$3</c:f>
              <c:strCache>
                <c:ptCount val="1"/>
                <c:pt idx="0">
                  <c:v>кількість працюючих у суб'єктів малого підприємництва</c:v>
                </c:pt>
              </c:strCache>
            </c:strRef>
          </c:tx>
          <c:dLbls>
            <c:dLbl>
              <c:idx val="0"/>
              <c:layout>
                <c:manualLayout>
                  <c:x val="3.8812785388127852E-2"/>
                  <c:y val="-8.2304850782541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B7C-484E-B5DB-15917A8FA689}"/>
                </c:ext>
              </c:extLst>
            </c:dLbl>
            <c:dLbl>
              <c:idx val="1"/>
              <c:layout>
                <c:manualLayout>
                  <c:x val="6.8493150684931546E-3"/>
                  <c:y val="-8.64197530864196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B7C-484E-B5DB-15917A8FA689}"/>
                </c:ext>
              </c:extLst>
            </c:dLbl>
            <c:dLbl>
              <c:idx val="2"/>
              <c:layout>
                <c:manualLayout>
                  <c:x val="-6.392694063926932E-2"/>
                  <c:y val="-8.64197530864196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B7C-484E-B5DB-15917A8FA68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Лист2!$C$2:$E$2</c:f>
              <c:strCache>
                <c:ptCount val="3"/>
                <c:pt idx="0">
                  <c:v>2018 рік</c:v>
                </c:pt>
                <c:pt idx="1">
                  <c:v>2019 рік</c:v>
                </c:pt>
                <c:pt idx="2">
                  <c:v>2020 рік</c:v>
                </c:pt>
              </c:strCache>
            </c:strRef>
          </c:cat>
          <c:val>
            <c:numRef>
              <c:f>Лист2!$C$3:$E$3</c:f>
              <c:numCache>
                <c:formatCode>General</c:formatCode>
                <c:ptCount val="3"/>
                <c:pt idx="0">
                  <c:v>21259</c:v>
                </c:pt>
                <c:pt idx="1">
                  <c:v>24823</c:v>
                </c:pt>
                <c:pt idx="2">
                  <c:v>25167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B7C-484E-B5DB-15917A8FA689}"/>
            </c:ext>
          </c:extLst>
        </c:ser>
        <c:ser>
          <c:idx val="1"/>
          <c:order val="1"/>
          <c:tx>
            <c:strRef>
              <c:f>Лист2!$B$4</c:f>
              <c:strCache>
                <c:ptCount val="1"/>
                <c:pt idx="0">
                  <c:v>кількість працюючих у суб'єктів середнього підприємництва</c:v>
                </c:pt>
              </c:strCache>
            </c:strRef>
          </c:tx>
          <c:spPr>
            <a:solidFill>
              <a:srgbClr val="FFFF00"/>
            </a:solidFill>
          </c:spPr>
          <c:dLbls>
            <c:dLbl>
              <c:idx val="0"/>
              <c:layout>
                <c:manualLayout>
                  <c:x val="4.5662100456621071E-2"/>
                  <c:y val="-7.4074074074074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B7C-484E-B5DB-15917A8FA689}"/>
                </c:ext>
              </c:extLst>
            </c:dLbl>
            <c:dLbl>
              <c:idx val="1"/>
              <c:layout>
                <c:manualLayout>
                  <c:x val="-4.5662100456621045E-3"/>
                  <c:y val="-9.4650205761317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B7C-484E-B5DB-15917A8FA689}"/>
                </c:ext>
              </c:extLst>
            </c:dLbl>
            <c:dLbl>
              <c:idx val="2"/>
              <c:layout>
                <c:manualLayout>
                  <c:x val="-5.0228310502283005E-2"/>
                  <c:y val="-8.64197530864196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B7C-484E-B5DB-15917A8FA68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Лист2!$C$2:$E$2</c:f>
              <c:strCache>
                <c:ptCount val="3"/>
                <c:pt idx="0">
                  <c:v>2018 рік</c:v>
                </c:pt>
                <c:pt idx="1">
                  <c:v>2019 рік</c:v>
                </c:pt>
                <c:pt idx="2">
                  <c:v>2020 рік</c:v>
                </c:pt>
              </c:strCache>
            </c:strRef>
          </c:cat>
          <c:val>
            <c:numRef>
              <c:f>Лист2!$C$4:$E$4</c:f>
              <c:numCache>
                <c:formatCode>General</c:formatCode>
                <c:ptCount val="3"/>
                <c:pt idx="0">
                  <c:v>22319</c:v>
                </c:pt>
                <c:pt idx="1">
                  <c:v>18794</c:v>
                </c:pt>
                <c:pt idx="2">
                  <c:v>18925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B7C-484E-B5DB-15917A8FA689}"/>
            </c:ext>
          </c:extLst>
        </c:ser>
        <c:ser>
          <c:idx val="2"/>
          <c:order val="2"/>
          <c:tx>
            <c:strRef>
              <c:f>Лист2!$B$5</c:f>
              <c:strCache>
                <c:ptCount val="1"/>
                <c:pt idx="0">
                  <c:v>всього </c:v>
                </c:pt>
              </c:strCache>
            </c:strRef>
          </c:tx>
          <c:dLbls>
            <c:dLbl>
              <c:idx val="0"/>
              <c:layout>
                <c:manualLayout>
                  <c:x val="3.1963470319634701E-2"/>
                  <c:y val="-0.11111111111111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B7C-484E-B5DB-15917A8FA689}"/>
                </c:ext>
              </c:extLst>
            </c:dLbl>
            <c:dLbl>
              <c:idx val="1"/>
              <c:layout>
                <c:manualLayout>
                  <c:x val="6.8493150684931546E-3"/>
                  <c:y val="-0.1234567901234567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B7C-484E-B5DB-15917A8FA689}"/>
                </c:ext>
              </c:extLst>
            </c:dLbl>
            <c:dLbl>
              <c:idx val="2"/>
              <c:layout>
                <c:manualLayout>
                  <c:x val="-5.4794520547945327E-2"/>
                  <c:y val="-0.139917695473251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B7C-484E-B5DB-15917A8FA68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Лист2!$C$2:$E$2</c:f>
              <c:strCache>
                <c:ptCount val="3"/>
                <c:pt idx="0">
                  <c:v>2018 рік</c:v>
                </c:pt>
                <c:pt idx="1">
                  <c:v>2019 рік</c:v>
                </c:pt>
                <c:pt idx="2">
                  <c:v>2020 рік</c:v>
                </c:pt>
              </c:strCache>
            </c:strRef>
          </c:cat>
          <c:val>
            <c:numRef>
              <c:f>Лист2!$C$5:$E$5</c:f>
              <c:numCache>
                <c:formatCode>General</c:formatCode>
                <c:ptCount val="3"/>
                <c:pt idx="0">
                  <c:v>43578</c:v>
                </c:pt>
                <c:pt idx="1">
                  <c:v>43617</c:v>
                </c:pt>
                <c:pt idx="2">
                  <c:v>44092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DB7C-484E-B5DB-15917A8FA68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204992512"/>
        <c:axId val="204994048"/>
        <c:axId val="148766720"/>
      </c:area3DChart>
      <c:catAx>
        <c:axId val="2049925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04994048"/>
        <c:crosses val="autoZero"/>
        <c:auto val="1"/>
        <c:lblAlgn val="ctr"/>
        <c:lblOffset val="100"/>
        <c:noMultiLvlLbl val="0"/>
      </c:catAx>
      <c:valAx>
        <c:axId val="20499404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204992512"/>
        <c:crosses val="autoZero"/>
        <c:crossBetween val="midCat"/>
      </c:valAx>
      <c:serAx>
        <c:axId val="148766720"/>
        <c:scaling>
          <c:orientation val="minMax"/>
        </c:scaling>
        <c:delete val="1"/>
        <c:axPos val="b"/>
        <c:majorTickMark val="out"/>
        <c:minorTickMark val="none"/>
        <c:tickLblPos val="none"/>
        <c:crossAx val="204994048"/>
        <c:crosses val="autoZero"/>
      </c:serAx>
    </c:plotArea>
    <c:legend>
      <c:legendPos val="l"/>
      <c:layout>
        <c:manualLayout>
          <c:xMode val="edge"/>
          <c:yMode val="edge"/>
          <c:x val="0"/>
          <c:y val="5.1492174589287459E-3"/>
          <c:w val="0.25657844275012376"/>
          <c:h val="0.60698551569942649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814608619166296"/>
          <c:y val="2.8477907338430072E-2"/>
          <c:w val="0.85161084433281165"/>
          <c:h val="0.89491598946641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Лист2!$D$32</c:f>
              <c:strCache>
                <c:ptCount val="1"/>
                <c:pt idx="0">
                  <c:v>тис.грн</c:v>
                </c:pt>
              </c:strCache>
            </c:strRef>
          </c:tx>
          <c:invertIfNegative val="0"/>
          <c:dLbls>
            <c:dLbl>
              <c:idx val="3"/>
              <c:layout>
                <c:manualLayout>
                  <c:x val="2.4110914764309175E-3"/>
                  <c:y val="-5.839413820942271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831-4FC2-BA5F-418ACCA644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spPr>
              <a:ln w="38100" cap="flat" cmpd="sng" algn="ctr">
                <a:solidFill>
                  <a:schemeClr val="accent6"/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trendlineType val="poly"/>
            <c:order val="2"/>
            <c:dispRSqr val="0"/>
            <c:dispEq val="0"/>
          </c:trendline>
          <c:cat>
            <c:strRef>
              <c:f>Лист2!$E$31:$H$31</c:f>
              <c:strCache>
                <c:ptCount val="4"/>
                <c:pt idx="0">
                  <c:v>2017 рік</c:v>
                </c:pt>
                <c:pt idx="1">
                  <c:v>2018 рік</c:v>
                </c:pt>
                <c:pt idx="2">
                  <c:v>2019 рік</c:v>
                </c:pt>
                <c:pt idx="3">
                  <c:v>очікуване 2020 рік</c:v>
                </c:pt>
              </c:strCache>
            </c:strRef>
          </c:cat>
          <c:val>
            <c:numRef>
              <c:f>Лист2!$E$32:$H$32</c:f>
              <c:numCache>
                <c:formatCode>General</c:formatCode>
                <c:ptCount val="4"/>
                <c:pt idx="0">
                  <c:v>587809.9</c:v>
                </c:pt>
                <c:pt idx="1">
                  <c:v>711969.1</c:v>
                </c:pt>
                <c:pt idx="2">
                  <c:v>770460.4</c:v>
                </c:pt>
                <c:pt idx="3">
                  <c:v>740000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831-4FC2-BA5F-418ACCA644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9785984"/>
        <c:axId val="189787520"/>
      </c:barChart>
      <c:catAx>
        <c:axId val="1897859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89787520"/>
        <c:crosses val="autoZero"/>
        <c:auto val="1"/>
        <c:lblAlgn val="ctr"/>
        <c:lblOffset val="100"/>
        <c:noMultiLvlLbl val="0"/>
      </c:catAx>
      <c:valAx>
        <c:axId val="18978752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uk-UA"/>
                  <a:t>тис.грн.</a:t>
                </a:r>
              </a:p>
            </c:rich>
          </c:tx>
          <c:layout>
            <c:manualLayout>
              <c:xMode val="edge"/>
              <c:yMode val="edge"/>
              <c:x val="4.2403592655600938E-3"/>
              <c:y val="0.421528199346254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8978598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2942</Words>
  <Characters>16773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2018-11-15T08:48:00Z</cp:lastPrinted>
  <dcterms:created xsi:type="dcterms:W3CDTF">2020-12-22T14:42:00Z</dcterms:created>
  <dcterms:modified xsi:type="dcterms:W3CDTF">2020-12-22T14:42:00Z</dcterms:modified>
</cp:coreProperties>
</file>