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8" w:type="dxa"/>
        <w:tblInd w:w="284" w:type="dxa"/>
        <w:tblLook w:val="00A0" w:firstRow="1" w:lastRow="0" w:firstColumn="1" w:lastColumn="0" w:noHBand="0" w:noVBand="0"/>
      </w:tblPr>
      <w:tblGrid>
        <w:gridCol w:w="10172"/>
        <w:gridCol w:w="4536"/>
      </w:tblGrid>
      <w:tr w:rsidR="00DE6E92" w:rsidRPr="006479C6" w:rsidTr="004E69E3">
        <w:tc>
          <w:tcPr>
            <w:tcW w:w="10172" w:type="dxa"/>
          </w:tcPr>
          <w:p w:rsidR="00DE6E92" w:rsidRPr="0069284C" w:rsidRDefault="00DE6E92" w:rsidP="000826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4536" w:type="dxa"/>
            <w:vAlign w:val="center"/>
          </w:tcPr>
          <w:p w:rsidR="00DE6E92" w:rsidRPr="006479C6" w:rsidRDefault="00DE6E92" w:rsidP="00082663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val="uk-UA"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val="uk-UA" w:eastAsia="ru-RU"/>
              </w:rPr>
              <w:t xml:space="preserve">Додаток </w:t>
            </w:r>
            <w:r w:rsidR="00C90398"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3</w:t>
            </w:r>
          </w:p>
          <w:p w:rsidR="00DE6E92" w:rsidRPr="006479C6" w:rsidRDefault="00DE6E92" w:rsidP="00082663">
            <w:pPr>
              <w:shd w:val="clear" w:color="auto" w:fill="FFFFFF"/>
              <w:spacing w:after="0" w:line="240" w:lineRule="auto"/>
              <w:ind w:left="284" w:right="-31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val="uk-UA"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val="uk-UA" w:eastAsia="ru-RU"/>
              </w:rPr>
              <w:t xml:space="preserve">до Програми розвитку культури  </w:t>
            </w:r>
          </w:p>
          <w:p w:rsidR="00DE6E92" w:rsidRPr="006479C6" w:rsidRDefault="00DE6E92" w:rsidP="00082663">
            <w:pPr>
              <w:shd w:val="clear" w:color="auto" w:fill="FFFFFF"/>
              <w:spacing w:after="0" w:line="240" w:lineRule="auto"/>
              <w:ind w:left="284" w:right="-31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val="uk-UA"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val="uk-UA" w:eastAsia="ru-RU"/>
              </w:rPr>
              <w:t>міста Чернівців на 2021-2023 роки  «Чернівці – місто культури», затвердженої рішенням Чернівецької міської ради VII скликання</w:t>
            </w:r>
          </w:p>
          <w:p w:rsidR="00DE6E92" w:rsidRPr="006479C6" w:rsidRDefault="00C77FAB" w:rsidP="00082663">
            <w:pPr>
              <w:shd w:val="clear" w:color="auto" w:fill="FFFFFF"/>
              <w:spacing w:after="0" w:line="240" w:lineRule="auto"/>
              <w:ind w:left="284" w:right="-31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val="uk-UA"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u w:val="single"/>
                <w:lang w:eastAsia="ru-RU"/>
              </w:rPr>
              <w:t>18.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u w:val="single"/>
                <w:lang w:val="en-US" w:eastAsia="ru-RU"/>
              </w:rPr>
              <w:t>11.</w:t>
            </w:r>
            <w:r w:rsidR="00DE6E92"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u w:val="single"/>
                <w:lang w:val="uk-UA" w:eastAsia="ru-RU"/>
              </w:rPr>
              <w:t>2020</w:t>
            </w:r>
            <w:r w:rsidR="00DE6E92"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val="uk-UA" w:eastAsia="ru-RU"/>
              </w:rPr>
              <w:t xml:space="preserve"> №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val="en-US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u w:val="single"/>
                <w:lang w:val="en-US" w:eastAsia="ru-RU"/>
              </w:rPr>
              <w:t>2472</w:t>
            </w:r>
          </w:p>
          <w:p w:rsidR="00DE6E92" w:rsidRPr="006479C6" w:rsidRDefault="00DE6E92" w:rsidP="000826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uk-UA" w:eastAsia="ru-RU"/>
              </w:rPr>
            </w:pPr>
          </w:p>
        </w:tc>
      </w:tr>
    </w:tbl>
    <w:p w:rsidR="00DE6E92" w:rsidRPr="006479C6" w:rsidRDefault="00DE6E92" w:rsidP="00082663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pacing w:val="-13"/>
          <w:sz w:val="28"/>
          <w:szCs w:val="20"/>
          <w:lang w:val="uk-UA" w:eastAsia="ru-RU"/>
        </w:rPr>
      </w:pPr>
    </w:p>
    <w:p w:rsidR="00DE6E92" w:rsidRPr="006479C6" w:rsidRDefault="00DE6E92" w:rsidP="00082663">
      <w:pPr>
        <w:shd w:val="clear" w:color="auto" w:fill="FFFFFF"/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spacing w:val="-13"/>
          <w:sz w:val="28"/>
          <w:szCs w:val="20"/>
          <w:lang w:val="uk-UA" w:eastAsia="ru-RU"/>
        </w:rPr>
      </w:pPr>
      <w:r w:rsidRPr="006479C6">
        <w:rPr>
          <w:rFonts w:ascii="Times New Roman" w:eastAsia="Calibri" w:hAnsi="Times New Roman" w:cs="Times New Roman"/>
          <w:b/>
          <w:spacing w:val="-13"/>
          <w:sz w:val="28"/>
          <w:szCs w:val="20"/>
          <w:lang w:val="uk-UA" w:eastAsia="ru-RU"/>
        </w:rPr>
        <w:t>Напрями діяльності та заходи</w:t>
      </w:r>
    </w:p>
    <w:p w:rsidR="00DE6E92" w:rsidRPr="006479C6" w:rsidRDefault="00DE6E92" w:rsidP="00082663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pacing w:val="-13"/>
          <w:sz w:val="28"/>
          <w:szCs w:val="20"/>
          <w:lang w:val="uk-UA" w:eastAsia="ru-RU"/>
        </w:rPr>
      </w:pPr>
      <w:r w:rsidRPr="006479C6">
        <w:rPr>
          <w:rFonts w:ascii="Times New Roman" w:eastAsia="Times New Roman" w:hAnsi="Times New Roman" w:cs="Times New Roman"/>
          <w:b/>
          <w:spacing w:val="-13"/>
          <w:sz w:val="28"/>
          <w:szCs w:val="20"/>
          <w:lang w:val="uk-UA" w:eastAsia="ru-RU"/>
        </w:rPr>
        <w:t>Програми розвитку культури  міста Чернівців на 2021-2023 роки  «Чернівці – місто культури»</w:t>
      </w:r>
    </w:p>
    <w:p w:rsidR="00353721" w:rsidRPr="006479C6" w:rsidRDefault="00353721" w:rsidP="00082663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pacing w:val="-13"/>
          <w:sz w:val="20"/>
          <w:szCs w:val="20"/>
          <w:lang w:val="uk-UA"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1708"/>
        <w:gridCol w:w="1918"/>
        <w:gridCol w:w="1044"/>
        <w:gridCol w:w="1433"/>
        <w:gridCol w:w="1842"/>
        <w:gridCol w:w="1131"/>
        <w:gridCol w:w="1211"/>
        <w:gridCol w:w="1202"/>
        <w:gridCol w:w="1134"/>
        <w:gridCol w:w="1665"/>
      </w:tblGrid>
      <w:tr w:rsidR="00D85E58" w:rsidRPr="006479C6" w:rsidTr="00B676D3">
        <w:trPr>
          <w:trHeight w:val="436"/>
        </w:trPr>
        <w:tc>
          <w:tcPr>
            <w:tcW w:w="555" w:type="dxa"/>
            <w:vMerge w:val="restart"/>
            <w:hideMark/>
          </w:tcPr>
          <w:p w:rsidR="00082663" w:rsidRPr="006479C6" w:rsidRDefault="00082663" w:rsidP="00D85E5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№ з/п</w:t>
            </w:r>
          </w:p>
        </w:tc>
        <w:tc>
          <w:tcPr>
            <w:tcW w:w="1708" w:type="dxa"/>
            <w:vMerge w:val="restart"/>
            <w:hideMark/>
          </w:tcPr>
          <w:p w:rsidR="00082663" w:rsidRPr="006479C6" w:rsidRDefault="00082663" w:rsidP="000826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Назва напряму діяльності (пріоритетні завдання)</w:t>
            </w:r>
          </w:p>
        </w:tc>
        <w:tc>
          <w:tcPr>
            <w:tcW w:w="1918" w:type="dxa"/>
            <w:vMerge w:val="restart"/>
            <w:hideMark/>
          </w:tcPr>
          <w:p w:rsidR="00082663" w:rsidRPr="006479C6" w:rsidRDefault="00082663" w:rsidP="000826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Перелік заходів Програми</w:t>
            </w:r>
          </w:p>
        </w:tc>
        <w:tc>
          <w:tcPr>
            <w:tcW w:w="1044" w:type="dxa"/>
            <w:vMerge w:val="restart"/>
            <w:hideMark/>
          </w:tcPr>
          <w:p w:rsidR="00082663" w:rsidRPr="006479C6" w:rsidRDefault="00082663" w:rsidP="000826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Строк виконання заходу</w:t>
            </w:r>
          </w:p>
        </w:tc>
        <w:tc>
          <w:tcPr>
            <w:tcW w:w="1433" w:type="dxa"/>
            <w:vMerge w:val="restart"/>
            <w:hideMark/>
          </w:tcPr>
          <w:p w:rsidR="00082663" w:rsidRPr="006479C6" w:rsidRDefault="00082663" w:rsidP="000826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Виконавці</w:t>
            </w:r>
          </w:p>
        </w:tc>
        <w:tc>
          <w:tcPr>
            <w:tcW w:w="1842" w:type="dxa"/>
            <w:vMerge w:val="restart"/>
            <w:hideMark/>
          </w:tcPr>
          <w:p w:rsidR="00082663" w:rsidRPr="006479C6" w:rsidRDefault="00082663" w:rsidP="000826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Джерела фінансування</w:t>
            </w:r>
          </w:p>
        </w:tc>
        <w:tc>
          <w:tcPr>
            <w:tcW w:w="4678" w:type="dxa"/>
            <w:gridSpan w:val="4"/>
            <w:hideMark/>
          </w:tcPr>
          <w:p w:rsidR="00082663" w:rsidRPr="006479C6" w:rsidRDefault="00082663" w:rsidP="000826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Орієнтовні обсяги фінансування, тис. грн.</w:t>
            </w:r>
          </w:p>
        </w:tc>
        <w:tc>
          <w:tcPr>
            <w:tcW w:w="1665" w:type="dxa"/>
            <w:vMerge w:val="restart"/>
            <w:hideMark/>
          </w:tcPr>
          <w:p w:rsidR="00082663" w:rsidRPr="006479C6" w:rsidRDefault="00082663" w:rsidP="000826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Очікуваний результат</w:t>
            </w:r>
          </w:p>
        </w:tc>
      </w:tr>
      <w:tr w:rsidR="00D85E58" w:rsidRPr="006479C6" w:rsidTr="00EF1399">
        <w:trPr>
          <w:trHeight w:val="360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044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433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131" w:type="dxa"/>
            <w:vMerge w:val="restart"/>
            <w:hideMark/>
          </w:tcPr>
          <w:p w:rsidR="001E3C7A" w:rsidRPr="006479C6" w:rsidRDefault="001E3C7A" w:rsidP="001E3C7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</w:p>
          <w:p w:rsidR="00082663" w:rsidRPr="006479C6" w:rsidRDefault="00082663" w:rsidP="001E3C7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всього</w:t>
            </w:r>
          </w:p>
        </w:tc>
        <w:tc>
          <w:tcPr>
            <w:tcW w:w="3547" w:type="dxa"/>
            <w:gridSpan w:val="3"/>
            <w:hideMark/>
          </w:tcPr>
          <w:p w:rsidR="00082663" w:rsidRPr="006479C6" w:rsidRDefault="00082663" w:rsidP="000826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в т.ч.</w:t>
            </w:r>
          </w:p>
        </w:tc>
        <w:tc>
          <w:tcPr>
            <w:tcW w:w="166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</w:tr>
      <w:tr w:rsidR="00D85E58" w:rsidRPr="006479C6" w:rsidTr="009948E8">
        <w:trPr>
          <w:trHeight w:val="320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044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433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131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</w:p>
        </w:tc>
        <w:tc>
          <w:tcPr>
            <w:tcW w:w="1211" w:type="dxa"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2021 рік</w:t>
            </w:r>
          </w:p>
        </w:tc>
        <w:tc>
          <w:tcPr>
            <w:tcW w:w="1202" w:type="dxa"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2022 рік</w:t>
            </w:r>
          </w:p>
        </w:tc>
        <w:tc>
          <w:tcPr>
            <w:tcW w:w="1134" w:type="dxa"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2023 рік</w:t>
            </w:r>
          </w:p>
        </w:tc>
        <w:tc>
          <w:tcPr>
            <w:tcW w:w="166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</w:tr>
      <w:tr w:rsidR="00D85E58" w:rsidRPr="006479C6" w:rsidTr="004A5FEF">
        <w:trPr>
          <w:trHeight w:val="170"/>
        </w:trPr>
        <w:tc>
          <w:tcPr>
            <w:tcW w:w="555" w:type="dxa"/>
            <w:hideMark/>
          </w:tcPr>
          <w:p w:rsidR="00082663" w:rsidRPr="006479C6" w:rsidRDefault="00082663" w:rsidP="00D85E5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1</w:t>
            </w:r>
          </w:p>
        </w:tc>
        <w:tc>
          <w:tcPr>
            <w:tcW w:w="1708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</w:t>
            </w:r>
          </w:p>
        </w:tc>
        <w:tc>
          <w:tcPr>
            <w:tcW w:w="1918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3</w:t>
            </w:r>
          </w:p>
        </w:tc>
        <w:tc>
          <w:tcPr>
            <w:tcW w:w="1044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4</w:t>
            </w:r>
          </w:p>
        </w:tc>
        <w:tc>
          <w:tcPr>
            <w:tcW w:w="1433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5</w:t>
            </w:r>
          </w:p>
        </w:tc>
        <w:tc>
          <w:tcPr>
            <w:tcW w:w="1842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6</w:t>
            </w:r>
          </w:p>
        </w:tc>
        <w:tc>
          <w:tcPr>
            <w:tcW w:w="1131" w:type="dxa"/>
            <w:hideMark/>
          </w:tcPr>
          <w:p w:rsidR="00082663" w:rsidRPr="006479C6" w:rsidRDefault="001F1B97" w:rsidP="0008266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>7</w:t>
            </w:r>
          </w:p>
        </w:tc>
        <w:tc>
          <w:tcPr>
            <w:tcW w:w="1211" w:type="dxa"/>
            <w:hideMark/>
          </w:tcPr>
          <w:p w:rsidR="00082663" w:rsidRPr="006479C6" w:rsidRDefault="001F1B97" w:rsidP="0008266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>8</w:t>
            </w:r>
          </w:p>
        </w:tc>
        <w:tc>
          <w:tcPr>
            <w:tcW w:w="1202" w:type="dxa"/>
            <w:hideMark/>
          </w:tcPr>
          <w:p w:rsidR="00082663" w:rsidRPr="006479C6" w:rsidRDefault="001F1B97" w:rsidP="0008266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>9</w:t>
            </w:r>
          </w:p>
        </w:tc>
        <w:tc>
          <w:tcPr>
            <w:tcW w:w="1134" w:type="dxa"/>
            <w:hideMark/>
          </w:tcPr>
          <w:p w:rsidR="00082663" w:rsidRPr="006479C6" w:rsidRDefault="001F1B97" w:rsidP="001F1B97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>10</w:t>
            </w:r>
          </w:p>
        </w:tc>
        <w:tc>
          <w:tcPr>
            <w:tcW w:w="1665" w:type="dxa"/>
            <w:hideMark/>
          </w:tcPr>
          <w:p w:rsidR="00082663" w:rsidRPr="006479C6" w:rsidRDefault="00082663" w:rsidP="001F1B97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1</w:t>
            </w:r>
            <w:r w:rsidR="001F1B97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>1</w:t>
            </w:r>
          </w:p>
        </w:tc>
      </w:tr>
      <w:tr w:rsidR="00D85E58" w:rsidRPr="006479C6" w:rsidTr="00B91CC3">
        <w:trPr>
          <w:trHeight w:val="561"/>
        </w:trPr>
        <w:tc>
          <w:tcPr>
            <w:tcW w:w="555" w:type="dxa"/>
            <w:vMerge w:val="restart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1.</w:t>
            </w:r>
          </w:p>
        </w:tc>
        <w:tc>
          <w:tcPr>
            <w:tcW w:w="1708" w:type="dxa"/>
            <w:vMerge w:val="restart"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Забезпечення надання початкової музичної, хореографічної освіти з образотворчого мистецтва та художнього промислу</w:t>
            </w:r>
          </w:p>
        </w:tc>
        <w:tc>
          <w:tcPr>
            <w:tcW w:w="1918" w:type="dxa"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1.1. Проведення поточних ремонтів приміщень та споруд мистецьких шкіл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Управління культури Чернівецької міської ради, міські мистецькі школи </w:t>
            </w:r>
          </w:p>
        </w:tc>
        <w:tc>
          <w:tcPr>
            <w:tcW w:w="1842" w:type="dxa"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590,0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500,0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530,0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560,0</w:t>
            </w:r>
          </w:p>
        </w:tc>
        <w:tc>
          <w:tcPr>
            <w:tcW w:w="1665" w:type="dxa"/>
            <w:hideMark/>
          </w:tcPr>
          <w:p w:rsidR="00082663" w:rsidRPr="006479C6" w:rsidRDefault="00082663" w:rsidP="0008266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Споруди та приміщення мистецьких шкіл відповідають сучасним технічним вимогам, безпечні та комфортні, із використанням інноваційних технологій</w:t>
            </w:r>
          </w:p>
        </w:tc>
      </w:tr>
      <w:tr w:rsidR="00D85E58" w:rsidRPr="006479C6" w:rsidTr="00D40F80">
        <w:trPr>
          <w:trHeight w:val="3397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1.2. Зміцнення та модернізація матеріально-технічної бази мистецьких шкіл: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br/>
              <w:t>придбання  музичних інструментів, звукового та музичного обладнання, меблів</w:t>
            </w:r>
          </w:p>
          <w:p w:rsidR="002B570B" w:rsidRPr="006479C6" w:rsidRDefault="002B570B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504C8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504C8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Управління культури Чернівецької міської ради, міські мистецькі школи </w:t>
            </w:r>
          </w:p>
        </w:tc>
        <w:tc>
          <w:tcPr>
            <w:tcW w:w="1842" w:type="dxa"/>
            <w:hideMark/>
          </w:tcPr>
          <w:p w:rsidR="00082663" w:rsidRPr="006479C6" w:rsidRDefault="00082663" w:rsidP="00504C8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060,0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335,0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355,0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370,0</w:t>
            </w:r>
          </w:p>
        </w:tc>
        <w:tc>
          <w:tcPr>
            <w:tcW w:w="1665" w:type="dxa"/>
            <w:hideMark/>
          </w:tcPr>
          <w:p w:rsidR="00B676D3" w:rsidRPr="006479C6" w:rsidRDefault="00082663" w:rsidP="00D40F8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Достатній рівень матеріально-технічного забезпечення, впровадження інноваційних технологій для якісного надання послуг. Розширення напрямів та відкриття нових класів мистецтв</w:t>
            </w:r>
          </w:p>
        </w:tc>
      </w:tr>
      <w:tr w:rsidR="00D85E58" w:rsidRPr="006479C6" w:rsidTr="009948E8">
        <w:trPr>
          <w:trHeight w:val="1950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D40F80" w:rsidRPr="006479C6" w:rsidRDefault="00082663" w:rsidP="00D40F8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1.3. Участь учнів та викладачів мистецьких шкіл у регіональних, всеукраїнських та міжнародних фестивалях, конкурсах, виставках, мистецьких програмах тощо</w:t>
            </w:r>
          </w:p>
          <w:p w:rsidR="00175B51" w:rsidRPr="006479C6" w:rsidRDefault="00175B51" w:rsidP="00D40F8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Управління культури Чернівецької міської ради, міські мистецькі школи 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70,0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30,0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Підтримка та розвиток творчих здібностей учнів мистецьких шкіл, підвищення фахового рівня викладачів мистецьких шкіл</w:t>
            </w:r>
          </w:p>
        </w:tc>
      </w:tr>
      <w:tr w:rsidR="00D85E58" w:rsidRPr="006479C6" w:rsidTr="00184ADC">
        <w:trPr>
          <w:trHeight w:val="682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2A18CC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>1</w:t>
            </w:r>
            <w:r w:rsidR="00082663"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.4. Підвищення розмірів муніципальних стипендій для талановитих учнів мистецьких шкіл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Управління культури Чернівецької міської ради, міські мистецькі школи </w:t>
            </w:r>
          </w:p>
        </w:tc>
        <w:tc>
          <w:tcPr>
            <w:tcW w:w="1842" w:type="dxa"/>
            <w:hideMark/>
          </w:tcPr>
          <w:p w:rsidR="00B676D3" w:rsidRPr="006479C6" w:rsidRDefault="00082663" w:rsidP="00D40F8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260,0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75,0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85,0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100,0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Створення якісного культурного продукту, мотивація учнів для отримання найкращих результатів навчання</w:t>
            </w:r>
          </w:p>
        </w:tc>
      </w:tr>
      <w:tr w:rsidR="00D85E58" w:rsidRPr="006479C6" w:rsidTr="00D40F80">
        <w:trPr>
          <w:trHeight w:val="562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Всього за напрямом:</w:t>
            </w: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980,0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930,0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990,0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060,0</w:t>
            </w:r>
          </w:p>
        </w:tc>
        <w:tc>
          <w:tcPr>
            <w:tcW w:w="1665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 </w:t>
            </w:r>
          </w:p>
        </w:tc>
      </w:tr>
      <w:tr w:rsidR="00D85E58" w:rsidRPr="006479C6" w:rsidTr="00D40F80">
        <w:trPr>
          <w:trHeight w:val="3113"/>
        </w:trPr>
        <w:tc>
          <w:tcPr>
            <w:tcW w:w="555" w:type="dxa"/>
            <w:vMerge w:val="restart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lastRenderedPageBreak/>
              <w:t>2.</w:t>
            </w:r>
          </w:p>
        </w:tc>
        <w:tc>
          <w:tcPr>
            <w:tcW w:w="1708" w:type="dxa"/>
            <w:vMerge w:val="restart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 xml:space="preserve">Забезпечення доступності для громадян документів та інформації, створення умов для повного задоволення духовних потреб, сприяння професійного та освітнього розвитку громадян,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sz w:val="21"/>
                <w:szCs w:val="21"/>
                <w:lang w:eastAsia="ru-RU"/>
              </w:rPr>
              <w:t xml:space="preserve">комплектування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та зберігання бібліотечного фонду, їх облік, контроль за виконанням</w:t>
            </w: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2.1. Проведення поточних ремонтів приміщень та споруд бібліотек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9948E8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міські бібліотеки</w:t>
            </w:r>
          </w:p>
        </w:tc>
        <w:tc>
          <w:tcPr>
            <w:tcW w:w="1842" w:type="dxa"/>
            <w:hideMark/>
          </w:tcPr>
          <w:p w:rsidR="00082663" w:rsidRPr="006479C6" w:rsidRDefault="00082663" w:rsidP="009948E8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</w:t>
            </w:r>
            <w:r w:rsidR="009948E8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>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250,0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300,0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600,0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350,0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Споруди та приміщення бібліотек відповідають сучасним технічним вимогам, безпечні та комфортні, із використанням інноваційних технологій</w:t>
            </w:r>
          </w:p>
          <w:p w:rsidR="00B676D3" w:rsidRPr="006479C6" w:rsidRDefault="00B676D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</w:tr>
      <w:tr w:rsidR="00D85E58" w:rsidRPr="006479C6" w:rsidTr="009948E8">
        <w:trPr>
          <w:trHeight w:val="567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CE623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2.2. Зміцнення та модернізація матеріально-технічної бази бібліотек: придбання бібліотечного </w:t>
            </w:r>
            <w:r w:rsidR="00CE6235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>о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бладнання, меблів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міські бібліотеки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  <w:p w:rsidR="00B91CC3" w:rsidRPr="006479C6" w:rsidRDefault="00B91CC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130,0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40,0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40,0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50,0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Достатній рівень матеріально-технічного забезпечення, впровадження інноваційних технологій для якісного надання послуг</w:t>
            </w:r>
          </w:p>
        </w:tc>
      </w:tr>
      <w:tr w:rsidR="00D85E58" w:rsidRPr="006479C6" w:rsidTr="009948E8">
        <w:trPr>
          <w:trHeight w:val="1950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2.3. Розвиток електронної бібліотеки: оцифрування друкованих матеріалів фондів бібліотек міста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2022-2023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міські бібліотеки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  <w:p w:rsidR="00B91CC3" w:rsidRPr="006479C6" w:rsidRDefault="00B91CC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60,0</w:t>
            </w:r>
          </w:p>
        </w:tc>
        <w:tc>
          <w:tcPr>
            <w:tcW w:w="1211" w:type="dxa"/>
            <w:noWrap/>
            <w:hideMark/>
          </w:tcPr>
          <w:p w:rsidR="009948E8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-</w:t>
            </w:r>
          </w:p>
          <w:p w:rsidR="009948E8" w:rsidRPr="006479C6" w:rsidRDefault="009948E8" w:rsidP="008823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948E8" w:rsidRPr="006479C6" w:rsidRDefault="009948E8" w:rsidP="008823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2663" w:rsidRPr="006479C6" w:rsidRDefault="00082663" w:rsidP="008823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40,0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Створення можливості електронного доступу до бібліотечних фондів. Створення сучасної культурної пропозиції</w:t>
            </w:r>
          </w:p>
          <w:p w:rsidR="00184ADC" w:rsidRPr="006479C6" w:rsidRDefault="00184ADC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</w:tr>
      <w:tr w:rsidR="00D85E58" w:rsidRPr="006479C6" w:rsidTr="009948E8">
        <w:trPr>
          <w:trHeight w:val="557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2.4. Комплексний розвиток інформаційних ресурсів та технологій. Комплектування бібліотечних фондів електронними виданнями, мультимедійними продуктами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міські бібліотеки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35,0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-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35,0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Модернізація мережі бібліотек шляхом інформатизації та використання їх ресурсу для створення мережі розширених центрів надання культурно-освітніх та інших послуг</w:t>
            </w:r>
          </w:p>
          <w:p w:rsidR="00D40F80" w:rsidRPr="006479C6" w:rsidRDefault="00D40F80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</w:tr>
      <w:tr w:rsidR="00D85E58" w:rsidRPr="006479C6" w:rsidTr="009948E8">
        <w:trPr>
          <w:trHeight w:val="2265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2.5. Створення системи поширення серед населення інформації про книги вітчизняних виробників, зокрема місцевих авторів, шляхом проведення презентаційних заходів, прем`єр книг тощо, спільно із видавництвами, письменниками, поетами</w:t>
            </w:r>
          </w:p>
          <w:p w:rsidR="00B91CC3" w:rsidRPr="006479C6" w:rsidRDefault="00B91CC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міські бібліотеки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35,0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15,0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Розвиток бібліотек міста як сучасних центрів комунікацій та медіа. Підвищення престижу книги в інформаційно-освітньому просторі міста, популяризація книги та читацької активності</w:t>
            </w:r>
          </w:p>
        </w:tc>
      </w:tr>
      <w:tr w:rsidR="00D85E58" w:rsidRPr="006479C6" w:rsidTr="00BE327B">
        <w:trPr>
          <w:trHeight w:val="1129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B676D3" w:rsidRPr="006479C6" w:rsidRDefault="00082663" w:rsidP="00184AD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2.6. Реалізація проєкту "Бібліодворик – територія добросусідства, престижу, комфорту, функціональності" - облаштування саду бібліотеки по вул. Українській, 22 для відпочинку і проведення культурно-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мистецьких, науково-освітніх заходів, читання та цікавого дозвілля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2022-2023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Управління культури Чернівецької міської ради, департамент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  <w:lang w:eastAsia="ru-RU"/>
              </w:rPr>
              <w:t>містобудівного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 комплексу та земельних відносин Чернівецької міської ради, КБУ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  <w:lang w:eastAsia="ru-RU"/>
              </w:rPr>
              <w:lastRenderedPageBreak/>
              <w:t>"Муніципальна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 бібліотека ім. А.Добрянського"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            -     </w:t>
            </w:r>
          </w:p>
        </w:tc>
        <w:tc>
          <w:tcPr>
            <w:tcW w:w="120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134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Розвиток бібліотек міста як сучасних центрів комунікацій та медіа. Створення комфортних локацій для дозвілля</w:t>
            </w:r>
          </w:p>
        </w:tc>
      </w:tr>
      <w:tr w:rsidR="00D85E58" w:rsidRPr="006479C6" w:rsidTr="00D40F80">
        <w:trPr>
          <w:trHeight w:val="615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hideMark/>
          </w:tcPr>
          <w:p w:rsidR="00082663" w:rsidRPr="006479C6" w:rsidRDefault="00082663" w:rsidP="009948E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Всього за напрямом:</w:t>
            </w:r>
          </w:p>
        </w:tc>
        <w:tc>
          <w:tcPr>
            <w:tcW w:w="1918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433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spacing w:val="-13"/>
                <w:lang w:eastAsia="ru-RU"/>
              </w:rPr>
              <w:t> 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510,0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350,0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670,0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490,0</w:t>
            </w:r>
          </w:p>
        </w:tc>
        <w:tc>
          <w:tcPr>
            <w:tcW w:w="1665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</w:tr>
      <w:tr w:rsidR="00D85E58" w:rsidRPr="006479C6" w:rsidTr="00D40F80">
        <w:trPr>
          <w:trHeight w:val="3233"/>
        </w:trPr>
        <w:tc>
          <w:tcPr>
            <w:tcW w:w="555" w:type="dxa"/>
            <w:vMerge w:val="restart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3.</w:t>
            </w:r>
          </w:p>
        </w:tc>
        <w:tc>
          <w:tcPr>
            <w:tcW w:w="1708" w:type="dxa"/>
            <w:vMerge w:val="restart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Забезпечення організації культурного дозвілля населення і зміцнення культурних традицій</w:t>
            </w: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3.1. Проведення поточних ремонтів приміщень та споруд клубних закладів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міські клубні заклади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2</w:t>
            </w:r>
            <w:r w:rsidR="004E69E3" w:rsidRPr="006479C6">
              <w:rPr>
                <w:rFonts w:ascii="Times New Roman" w:eastAsia="Times New Roman" w:hAnsi="Times New Roman" w:cs="Times New Roman"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850,0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900,0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950,0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000,0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Споруди та приміщення клубних закладів відповідають сучасним технічним вимогам, безпечні та комфортні, із використанням інноваційних технологій</w:t>
            </w:r>
          </w:p>
          <w:p w:rsidR="00B676D3" w:rsidRPr="006479C6" w:rsidRDefault="00B676D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</w:tr>
      <w:tr w:rsidR="00D85E58" w:rsidRPr="006479C6" w:rsidTr="00BE327B">
        <w:trPr>
          <w:trHeight w:val="561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3.2. Зміцнення та модернізація матеріально-технічної бази клубних закладів: придбання звукопідсилювальної апаратури, звукового обладнання, музичних інструментів, меблів, сценічних костюмів тощо</w:t>
            </w:r>
          </w:p>
          <w:p w:rsidR="00B91CC3" w:rsidRPr="006479C6" w:rsidRDefault="00B91CC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міські клубні заклади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4</w:t>
            </w:r>
            <w:r w:rsidR="004E69E3" w:rsidRPr="006479C6">
              <w:rPr>
                <w:rFonts w:ascii="Times New Roman" w:eastAsia="Times New Roman" w:hAnsi="Times New Roman" w:cs="Times New Roman"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950,0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500,0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700,0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750,0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Достатній рівень матеріально-технічного забезпечення, впровадження інноваційних технологій для якісного надання послуг</w:t>
            </w:r>
          </w:p>
        </w:tc>
      </w:tr>
      <w:tr w:rsidR="00D85E58" w:rsidRPr="006479C6" w:rsidTr="009948E8">
        <w:trPr>
          <w:trHeight w:val="1905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3.3. Участь працівників клубних закладів у регіональних, всеукраїнських та міжнародних семінарах, тренінгах, фестивалях, конкурсах, виставках, мистецьких програмах тощо</w:t>
            </w:r>
          </w:p>
          <w:p w:rsidR="00B91CC3" w:rsidRPr="006479C6" w:rsidRDefault="00B91CC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міські клубні заклади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50,0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20,0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Підвищення фахового рівня працівників клубних закладів, навчання новим напрямкам -  культурному менеджменту та маркетингу, фандрейзингу </w:t>
            </w:r>
          </w:p>
        </w:tc>
      </w:tr>
      <w:tr w:rsidR="00D85E58" w:rsidRPr="006479C6" w:rsidTr="00CB5ED8">
        <w:trPr>
          <w:trHeight w:val="1128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3.4. Реалізація проєкту  «Цісарська скеля» - поновлення колишнього об’єкту «Цісарська скеля»  — старовинної фортеці, що є пам'ятником імператору Австро-Угорщини Францу Йозефу (на території теперішнього парку Ю.Федьковича)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2022-2023</w:t>
            </w:r>
          </w:p>
        </w:tc>
        <w:tc>
          <w:tcPr>
            <w:tcW w:w="1433" w:type="dxa"/>
            <w:hideMark/>
          </w:tcPr>
          <w:p w:rsidR="00B91CC3" w:rsidRPr="006479C6" w:rsidRDefault="00082663" w:rsidP="00184AD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департамент містобудівного комплексу та земельних відносин Чернівецької міської ради, КБУ "Центр дозвілля дітей та юнацтва парку ім. Ю.Федьковича м.Чернівців", громадські організації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 xml:space="preserve">В межах кошторису виконавців 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            -     </w:t>
            </w:r>
          </w:p>
        </w:tc>
        <w:tc>
          <w:tcPr>
            <w:tcW w:w="120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В межах кошторису виконавців </w:t>
            </w:r>
          </w:p>
        </w:tc>
        <w:tc>
          <w:tcPr>
            <w:tcW w:w="1134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В межах кошторису виконавців 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Створення якісного культурного продукту, що створить позитивний імідж Чернівців для залучення іноземних інвесторів та туристів</w:t>
            </w:r>
          </w:p>
        </w:tc>
      </w:tr>
      <w:tr w:rsidR="00D85E58" w:rsidRPr="006479C6" w:rsidTr="00B676D3">
        <w:trPr>
          <w:trHeight w:val="703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3.5. Реалізація проєкту </w:t>
            </w:r>
            <w:r w:rsidR="00435832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«Історична подорож в парк спогадів» - запуск першого в місті екскурсійного колесного паровозу з кількома вагончиками із маршрутом  у буферній зоні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ЮНЕСКО від Резиденції митрополитів Буковини та Далмації до колишньої Цісарської гори – парку Ю. Федьковича у м. Чернівцях</w:t>
            </w:r>
          </w:p>
          <w:p w:rsidR="00184ADC" w:rsidRPr="006479C6" w:rsidRDefault="00184ADC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2022-2023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Управління культури Чернівецької міської ради, КБУ "Центр дозвілля дітей та юнацтва парку ім. Ю.Федьковича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м.Чернівців", громадські організації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 xml:space="preserve">В межах кошторису виконавців 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            -     </w:t>
            </w:r>
          </w:p>
        </w:tc>
        <w:tc>
          <w:tcPr>
            <w:tcW w:w="120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В межах кошторису виконавців </w:t>
            </w:r>
          </w:p>
        </w:tc>
        <w:tc>
          <w:tcPr>
            <w:tcW w:w="1134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В межах кошторису виконавців </w:t>
            </w:r>
          </w:p>
        </w:tc>
        <w:tc>
          <w:tcPr>
            <w:tcW w:w="1665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Створення якісного культурного продукту, що створить позитивний імідж Чернівців для залучення іноземних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інвесторів та туристів</w:t>
            </w:r>
          </w:p>
        </w:tc>
      </w:tr>
      <w:tr w:rsidR="00D85E58" w:rsidRPr="006479C6" w:rsidTr="00435832">
        <w:trPr>
          <w:trHeight w:val="2099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3.6. Мистецький та культурний хаб Чернівців - багатофункціональний простір для представлення традиційного та сучасного мистецтва: експериментальна музика, перфоманси, цифрове мистецтво. Простір, який пропонуватиме інновації в сфері культури. 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департамент містобудівного комплексу та земельних відносин Чернівецької міської ради, громадські організації</w:t>
            </w:r>
          </w:p>
        </w:tc>
        <w:tc>
          <w:tcPr>
            <w:tcW w:w="184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211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202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134" w:type="dxa"/>
            <w:hideMark/>
          </w:tcPr>
          <w:p w:rsidR="00082663" w:rsidRPr="006479C6" w:rsidRDefault="00082663" w:rsidP="002A18C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665" w:type="dxa"/>
            <w:hideMark/>
          </w:tcPr>
          <w:p w:rsidR="00175B51" w:rsidRPr="006479C6" w:rsidRDefault="00082663" w:rsidP="0043583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Розвиток культурної інфраструктури, підтримка креативного сектору у сфері культури. Впровадження інновацій, позиціонування Чернівців як привабливого осередку культури. Створення простору для вільного культурного розвитку</w:t>
            </w:r>
          </w:p>
        </w:tc>
      </w:tr>
      <w:tr w:rsidR="00D85E58" w:rsidRPr="006479C6" w:rsidTr="009948E8">
        <w:trPr>
          <w:trHeight w:val="645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hideMark/>
          </w:tcPr>
          <w:p w:rsidR="00082663" w:rsidRPr="006479C6" w:rsidRDefault="00082663" w:rsidP="00ED002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Всього за напрямом:</w:t>
            </w:r>
          </w:p>
        </w:tc>
        <w:tc>
          <w:tcPr>
            <w:tcW w:w="1918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433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spacing w:val="-13"/>
                <w:lang w:eastAsia="ru-RU"/>
              </w:rPr>
              <w:t> 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7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850,0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410,0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670,0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770,0</w:t>
            </w:r>
          </w:p>
        </w:tc>
        <w:tc>
          <w:tcPr>
            <w:tcW w:w="1665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</w:tr>
      <w:tr w:rsidR="00D85E58" w:rsidRPr="006479C6" w:rsidTr="00882374">
        <w:trPr>
          <w:trHeight w:val="561"/>
        </w:trPr>
        <w:tc>
          <w:tcPr>
            <w:tcW w:w="555" w:type="dxa"/>
            <w:vMerge w:val="restart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4.</w:t>
            </w:r>
          </w:p>
        </w:tc>
        <w:tc>
          <w:tcPr>
            <w:tcW w:w="1708" w:type="dxa"/>
            <w:vMerge w:val="restart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Підтримка та розвиток культурно-освітніх мистецьких заходів</w:t>
            </w:r>
          </w:p>
        </w:tc>
        <w:tc>
          <w:tcPr>
            <w:tcW w:w="1918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4.1. Організація та проведення заходів відповідно до календаря державних, знаменних і пам’ятних дат на 2021-2023 роки, загальнодержавних та загальноміських заходів </w:t>
            </w:r>
          </w:p>
          <w:p w:rsidR="00B676D3" w:rsidRPr="006479C6" w:rsidRDefault="00B676D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FE698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>У</w:t>
            </w:r>
            <w:r w:rsidR="00082663"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правління культури Чернівецької міської ради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9</w:t>
            </w:r>
            <w:r w:rsidR="004E69E3" w:rsidRPr="006479C6">
              <w:rPr>
                <w:rFonts w:ascii="Times New Roman" w:eastAsia="Times New Roman" w:hAnsi="Times New Roman" w:cs="Times New Roman"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300,0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</w:t>
            </w:r>
            <w:r w:rsidR="004E69E3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000,0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</w:t>
            </w:r>
            <w:r w:rsidR="004E69E3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</w:t>
            </w:r>
            <w:r w:rsidR="004E69E3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200,0</w:t>
            </w:r>
          </w:p>
        </w:tc>
        <w:tc>
          <w:tcPr>
            <w:tcW w:w="1665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Створення різноманітного культурно – мистецького життя міста. Розвиток подієвого туризму, фестивального руху</w:t>
            </w:r>
          </w:p>
        </w:tc>
      </w:tr>
      <w:tr w:rsidR="00D85E58" w:rsidRPr="006479C6" w:rsidTr="00435832">
        <w:trPr>
          <w:trHeight w:val="682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4.2. Участь аматорських колективів, працівників закладів культури у міжнародних, всеукраїнських, обласних та міських фестивалях, конкурсах, виставках, мистецьких програмах тощо</w:t>
            </w:r>
          </w:p>
          <w:p w:rsidR="00B91CC3" w:rsidRPr="006479C6" w:rsidRDefault="00B91CC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100,0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35,0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35,0</w:t>
            </w:r>
          </w:p>
        </w:tc>
        <w:tc>
          <w:tcPr>
            <w:tcW w:w="1665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Підвищення фахового рівня працівників закладів культури. Підтримка та розвиток творчих колективів</w:t>
            </w:r>
          </w:p>
        </w:tc>
      </w:tr>
      <w:tr w:rsidR="00D85E58" w:rsidRPr="006479C6" w:rsidTr="00B676D3">
        <w:trPr>
          <w:trHeight w:val="987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882374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4.3. </w:t>
            </w:r>
            <w:r w:rsidR="00882374"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>З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апровадження та проведення Міжнародного щорічного пленеру "Вуличками міста", присвяченого Дню міста Чернівців, за участі професійних художників 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КБУ "Центр культури «Вернісаж»",  ЧОО Національної спілки художників України, ГО "Буковинська акварельна асоціація"</w:t>
            </w:r>
          </w:p>
          <w:p w:rsidR="00435832" w:rsidRPr="006479C6" w:rsidRDefault="00435832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220,0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70,0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75,0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75,0</w:t>
            </w:r>
          </w:p>
        </w:tc>
        <w:tc>
          <w:tcPr>
            <w:tcW w:w="1665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Створення різноманітного культурно – мистецького життя міста. Створення якісного культурного продукту</w:t>
            </w:r>
          </w:p>
        </w:tc>
      </w:tr>
      <w:tr w:rsidR="00D85E58" w:rsidRPr="006479C6" w:rsidTr="009948E8">
        <w:trPr>
          <w:trHeight w:val="1980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B91CC3" w:rsidRPr="006479C6" w:rsidRDefault="00082663" w:rsidP="00B676D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4.4. Запровадження та втілення інтерактивних  мистецьких проєктів:  вуличного мистецтва (стріт-арту), інсталяцій, перформансів, флешмобів.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br/>
              <w:t>Реалізація мистецького проєкту «Видатні особистості із нами»</w:t>
            </w:r>
          </w:p>
          <w:p w:rsidR="00B676D3" w:rsidRPr="006479C6" w:rsidRDefault="00B676D3" w:rsidP="00B676D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громадські організації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420,0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130,0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140,0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150,0</w:t>
            </w:r>
          </w:p>
        </w:tc>
        <w:tc>
          <w:tcPr>
            <w:tcW w:w="1665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Створення різноманітного культурно – мистецького життя міста. Створення сучасного, якісного культурного продукту. Відзначення видатних особистостей краю</w:t>
            </w:r>
          </w:p>
        </w:tc>
      </w:tr>
      <w:tr w:rsidR="00D85E58" w:rsidRPr="006479C6" w:rsidTr="00B676D3">
        <w:trPr>
          <w:trHeight w:val="703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4.5. Сприяння проведення заходів у новому громадському просторі та зоні активного відпочинку у Садгорі на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br/>
              <w:t>базі парку в районі ЗОШ № 37 та Обласного дитячого протитуберкульозного санаторію</w:t>
            </w:r>
          </w:p>
          <w:p w:rsidR="00435832" w:rsidRPr="006479C6" w:rsidRDefault="00435832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2022-2023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 Чернівецької міської ради, КБУ "Культурно-мистецький центр «Садгора» м. Чернівців"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20,0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-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882374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10,0</w:t>
            </w:r>
          </w:p>
        </w:tc>
        <w:tc>
          <w:tcPr>
            <w:tcW w:w="1665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Однакове включення усіх районів (мікрорайонів) міста та соціальних груп населення у культурне життя </w:t>
            </w:r>
          </w:p>
        </w:tc>
      </w:tr>
      <w:tr w:rsidR="00D85E58" w:rsidRPr="006479C6" w:rsidTr="009948E8">
        <w:trPr>
          <w:trHeight w:val="690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hideMark/>
          </w:tcPr>
          <w:p w:rsidR="00082663" w:rsidRPr="006479C6" w:rsidRDefault="00082663" w:rsidP="00C23FC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Всього за напрямом:</w:t>
            </w:r>
          </w:p>
        </w:tc>
        <w:tc>
          <w:tcPr>
            <w:tcW w:w="1918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433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spacing w:val="-13"/>
                <w:lang w:eastAsia="ru-RU"/>
              </w:rPr>
              <w:t> </w:t>
            </w:r>
          </w:p>
        </w:tc>
        <w:tc>
          <w:tcPr>
            <w:tcW w:w="1131" w:type="dxa"/>
            <w:hideMark/>
          </w:tcPr>
          <w:p w:rsidR="00082663" w:rsidRPr="006479C6" w:rsidRDefault="00082663" w:rsidP="00C23FC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10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060,0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3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230,0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3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360,0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3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470,0</w:t>
            </w:r>
          </w:p>
        </w:tc>
        <w:tc>
          <w:tcPr>
            <w:tcW w:w="1665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 </w:t>
            </w:r>
          </w:p>
        </w:tc>
      </w:tr>
      <w:tr w:rsidR="00D85E58" w:rsidRPr="006479C6" w:rsidTr="00435832">
        <w:trPr>
          <w:trHeight w:val="3237"/>
        </w:trPr>
        <w:tc>
          <w:tcPr>
            <w:tcW w:w="555" w:type="dxa"/>
            <w:vMerge w:val="restart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5.</w:t>
            </w:r>
          </w:p>
        </w:tc>
        <w:tc>
          <w:tcPr>
            <w:tcW w:w="1708" w:type="dxa"/>
            <w:vMerge w:val="restart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Забезпечення проведення загальноміських культурно-масових заходів до державних та місцевих свят</w:t>
            </w:r>
          </w:p>
        </w:tc>
        <w:tc>
          <w:tcPr>
            <w:tcW w:w="1918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5.1. Сприяння проведенню фестивалів, підтримка громадських організацій, що є організаторами фестивалів в галузі культури та мистецтв в Чернівцях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2022-2023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громадські організації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700,0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300,0</w:t>
            </w:r>
          </w:p>
        </w:tc>
        <w:tc>
          <w:tcPr>
            <w:tcW w:w="1665" w:type="dxa"/>
            <w:hideMark/>
          </w:tcPr>
          <w:p w:rsidR="00082663" w:rsidRPr="006479C6" w:rsidRDefault="00FE698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Розвиток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val="uk-UA" w:eastAsia="ru-RU"/>
              </w:rPr>
              <w:t xml:space="preserve">  </w:t>
            </w:r>
            <w:r w:rsidR="00082663"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подієвого туризму, подій та фестивалів. Розвиток сучасного фестивального руху. Чернівці - місто регулярного проведення фестивалів</w:t>
            </w:r>
          </w:p>
        </w:tc>
      </w:tr>
      <w:tr w:rsidR="00D85E58" w:rsidRPr="006479C6" w:rsidTr="00435832">
        <w:trPr>
          <w:trHeight w:val="4934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5.2. Сприяння проведенню Фестивалю традиційних культур буковинських етносів - фестивалю культур етносів, які проживають на території Буковини, з акцентом на їх поліетнічність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2022-2023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КБУ "Центр культури «Вернісаж»", товариства національних меншин, громадські організації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380,0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-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300,0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80,0</w:t>
            </w:r>
          </w:p>
        </w:tc>
        <w:tc>
          <w:tcPr>
            <w:tcW w:w="1665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Популяризація культурних надбань Чернівців та Буковини, багатої культурної спадщини, культурної ідентичності. Чернівці - місто регулярного проведення фестивалів, зокрема і традиційних культур буковинських етносів</w:t>
            </w:r>
          </w:p>
          <w:p w:rsidR="00B676D3" w:rsidRPr="006479C6" w:rsidRDefault="00B676D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</w:tr>
      <w:tr w:rsidR="00D85E58" w:rsidRPr="006479C6" w:rsidTr="00B676D3">
        <w:trPr>
          <w:trHeight w:val="703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435832" w:rsidRPr="006479C6" w:rsidRDefault="00082663" w:rsidP="0043583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5.3. Сприяння проведенню заходів ГО "Культурний капітал" - Міжнародний поетичний фестиваль Meridian Czernowitz.  Триденна культурологічна прогулянка містом із 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зупинками у туристичних місцях (15 локацій), які репрезентують місто та його культурну спадщину для поетичних читань та перформансів за участі відомих поетів, культуртрегерів, журналістів, перекладачів з України та з-за кордону</w:t>
            </w:r>
          </w:p>
          <w:p w:rsidR="00435832" w:rsidRPr="006479C6" w:rsidRDefault="00435832" w:rsidP="0043583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lastRenderedPageBreak/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ГО «Культурний капітал»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700,0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150,0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250,0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300,0</w:t>
            </w:r>
          </w:p>
        </w:tc>
        <w:tc>
          <w:tcPr>
            <w:tcW w:w="1665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Розвиток подієвого туризму. Проведення заходів, що мають міжнародну привабливість</w:t>
            </w:r>
          </w:p>
        </w:tc>
      </w:tr>
      <w:tr w:rsidR="00D85E58" w:rsidRPr="006479C6" w:rsidTr="00435832">
        <w:trPr>
          <w:trHeight w:val="3130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5.4. Сприяння проведенню заходів ГО "Культурний капітал" - Роза Ауслендер 120. Міжнародна конференція дослідників та перекл</w:t>
            </w:r>
            <w:r w:rsidR="00EF1399"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адачів творчості Рози Ауслендер</w:t>
            </w:r>
          </w:p>
          <w:p w:rsidR="00B676D3" w:rsidRPr="006479C6" w:rsidRDefault="00B676D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ГО «Культурний капітал»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100,0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-</w:t>
            </w:r>
          </w:p>
        </w:tc>
        <w:tc>
          <w:tcPr>
            <w:tcW w:w="1665" w:type="dxa"/>
            <w:hideMark/>
          </w:tcPr>
          <w:p w:rsidR="002763B1" w:rsidRPr="006479C6" w:rsidRDefault="00082663" w:rsidP="0043583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Розвиток подієвого туризму. Проведення заходів, що мають міжнародну привабливість. Відзначення видатних особистостей краю</w:t>
            </w:r>
          </w:p>
        </w:tc>
      </w:tr>
      <w:tr w:rsidR="00D85E58" w:rsidRPr="006479C6" w:rsidTr="00435832">
        <w:trPr>
          <w:trHeight w:val="965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5.5. Сприяння проведенню заходів БФ "Барви життя"  -  Міжнародний фестиваль-конкурс народного танцю LASTIVKA DANCE FEST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БФ "Барви життя"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450,0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150,0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150,0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C23FC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150,0</w:t>
            </w:r>
          </w:p>
        </w:tc>
        <w:tc>
          <w:tcPr>
            <w:tcW w:w="1665" w:type="dxa"/>
            <w:hideMark/>
          </w:tcPr>
          <w:p w:rsidR="002763B1" w:rsidRPr="006479C6" w:rsidRDefault="00082663" w:rsidP="002763B1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Розвиток подієвого туризму, створення різноманітного культурно – мистецького життя міста, подій та фестивалів. Однакове включення усіх соціальних груп населення у культурне життя </w:t>
            </w:r>
          </w:p>
          <w:p w:rsidR="002763B1" w:rsidRPr="006479C6" w:rsidRDefault="002763B1" w:rsidP="002763B1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</w:tr>
      <w:tr w:rsidR="00D85E58" w:rsidRPr="006479C6" w:rsidTr="00435832">
        <w:trPr>
          <w:trHeight w:val="3853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5.6. Сприяння проведенню заходів ГО «Мрія» - Всеукраїнського фестивалю культури та творчості людей з інвалідністю «Сузір’я любові»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2021-2023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ГО «Мрія»</w:t>
            </w:r>
          </w:p>
        </w:tc>
        <w:tc>
          <w:tcPr>
            <w:tcW w:w="1842" w:type="dxa"/>
            <w:hideMark/>
          </w:tcPr>
          <w:p w:rsidR="00350E91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2663" w:rsidRPr="006479C6" w:rsidRDefault="00082663" w:rsidP="00350E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hideMark/>
          </w:tcPr>
          <w:p w:rsidR="00082663" w:rsidRPr="006479C6" w:rsidRDefault="00082663" w:rsidP="000459FD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350,0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0459FD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0459FD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120,0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0459FD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130,0</w:t>
            </w:r>
          </w:p>
        </w:tc>
        <w:tc>
          <w:tcPr>
            <w:tcW w:w="1665" w:type="dxa"/>
            <w:hideMark/>
          </w:tcPr>
          <w:p w:rsidR="002763B1" w:rsidRPr="006479C6" w:rsidRDefault="00082663" w:rsidP="002763B1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Розвиток подієвого туризму, створення різноманітного культурно – мистецького життя міста, подій та фестивалів. Однакове включення усіх соціальних груп населення у культурне життя</w:t>
            </w:r>
          </w:p>
          <w:p w:rsidR="00082663" w:rsidRPr="006479C6" w:rsidRDefault="00082663" w:rsidP="002763B1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 </w:t>
            </w:r>
          </w:p>
        </w:tc>
      </w:tr>
      <w:tr w:rsidR="00D85E58" w:rsidRPr="006479C6" w:rsidTr="00435832">
        <w:trPr>
          <w:trHeight w:val="2524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B676D3" w:rsidRPr="006479C6" w:rsidRDefault="00082663" w:rsidP="0043583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5.7. Запровадження та проведення конкурсу культурно-мистецьких проєктів - відкритого конкурсу, участь в якому беруть подані громадськими організаціями, творчими спілками, фізичними особами – підприємцями, проєкти, що мають на меті розвиток культурного простору Чернівців для посилення інвестиційної та туристичної привабливості міста</w:t>
            </w:r>
          </w:p>
          <w:p w:rsidR="00435832" w:rsidRPr="006479C6" w:rsidRDefault="00435832" w:rsidP="0043583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2022-2023</w:t>
            </w:r>
          </w:p>
        </w:tc>
        <w:tc>
          <w:tcPr>
            <w:tcW w:w="1433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Управління культури Чернівецької міської ради, департамент розвитку Чернівецької міської ради, громадські організації, творчі спілки, фізичні особи – підприємці</w:t>
            </w:r>
          </w:p>
        </w:tc>
        <w:tc>
          <w:tcPr>
            <w:tcW w:w="1842" w:type="dxa"/>
            <w:hideMark/>
          </w:tcPr>
          <w:p w:rsidR="00350E91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0E91" w:rsidRPr="006479C6" w:rsidRDefault="00350E91" w:rsidP="00350E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82663" w:rsidRPr="006479C6" w:rsidRDefault="00082663" w:rsidP="00350E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hideMark/>
          </w:tcPr>
          <w:p w:rsidR="00082663" w:rsidRPr="006479C6" w:rsidRDefault="00082663" w:rsidP="000459FD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170,0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0459FD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-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0459FD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70,0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0459FD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100,0</w:t>
            </w:r>
          </w:p>
        </w:tc>
        <w:tc>
          <w:tcPr>
            <w:tcW w:w="1665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Однакове включення усіх соціальних груп населення у культурне життя. Підтримка творчих ініціатив громади міста</w:t>
            </w:r>
          </w:p>
        </w:tc>
      </w:tr>
      <w:tr w:rsidR="00D85E58" w:rsidRPr="006479C6" w:rsidTr="00435832">
        <w:trPr>
          <w:trHeight w:val="4187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918" w:type="dxa"/>
            <w:hideMark/>
          </w:tcPr>
          <w:p w:rsidR="00B676D3" w:rsidRPr="006479C6" w:rsidRDefault="00082663" w:rsidP="0043583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5.8. Створення муніципальної культурної / фестивальної агенції - окремої структури або окремого штату при Управлінні культури із працівників, які мають відповідну освіту та практичні знання менеджменту та маркетингу, в тому числі в сфері культури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2022-2023</w:t>
            </w:r>
          </w:p>
        </w:tc>
        <w:tc>
          <w:tcPr>
            <w:tcW w:w="1433" w:type="dxa"/>
            <w:hideMark/>
          </w:tcPr>
          <w:p w:rsidR="00D40F80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Управління культури Чернівецької міської ради, департамент розвитку Чернівецької міської ради, громадські організації, </w:t>
            </w:r>
          </w:p>
          <w:p w:rsidR="00082663" w:rsidRPr="006479C6" w:rsidRDefault="00D40F80" w:rsidP="00D40F8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 xml:space="preserve">в </w:t>
            </w:r>
            <w:r w:rsidR="00082663"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т. ч.</w:t>
            </w:r>
            <w:r w:rsidR="00082663"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br/>
              <w:t>міжнародні</w:t>
            </w:r>
          </w:p>
        </w:tc>
        <w:tc>
          <w:tcPr>
            <w:tcW w:w="1842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Бюджет Чернівецької міської територіальної громади, інші джерела фінансування, не заборонені чинним законодавством</w:t>
            </w:r>
          </w:p>
        </w:tc>
        <w:tc>
          <w:tcPr>
            <w:tcW w:w="1131" w:type="dxa"/>
            <w:hideMark/>
          </w:tcPr>
          <w:p w:rsidR="00082663" w:rsidRPr="006479C6" w:rsidRDefault="00082663" w:rsidP="000459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0459FD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-</w:t>
            </w:r>
          </w:p>
        </w:tc>
        <w:tc>
          <w:tcPr>
            <w:tcW w:w="1202" w:type="dxa"/>
            <w:hideMark/>
          </w:tcPr>
          <w:p w:rsidR="00082663" w:rsidRPr="006479C6" w:rsidRDefault="00082663" w:rsidP="000459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134" w:type="dxa"/>
            <w:hideMark/>
          </w:tcPr>
          <w:p w:rsidR="00082663" w:rsidRPr="006479C6" w:rsidRDefault="00082663" w:rsidP="000459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В межах кошторису виконавців</w:t>
            </w:r>
          </w:p>
        </w:tc>
        <w:tc>
          <w:tcPr>
            <w:tcW w:w="1665" w:type="dxa"/>
            <w:hideMark/>
          </w:tcPr>
          <w:p w:rsidR="00082663" w:rsidRPr="006479C6" w:rsidRDefault="00082663" w:rsidP="00FE6983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t>Розвиток сучасного фестивального руху. Створення, розвиток та просування власного якісного культурного продукту. Впорядкування концертно-естрадної діяльності в</w:t>
            </w:r>
            <w:r w:rsidRPr="006479C6">
              <w:rPr>
                <w:rFonts w:ascii="Times New Roman" w:eastAsia="Times New Roman" w:hAnsi="Times New Roman" w:cs="Times New Roman"/>
                <w:spacing w:val="-13"/>
                <w:lang w:eastAsia="ru-RU"/>
              </w:rPr>
              <w:br/>
              <w:t>місті</w:t>
            </w:r>
          </w:p>
        </w:tc>
      </w:tr>
      <w:tr w:rsidR="00D85E58" w:rsidRPr="006479C6" w:rsidTr="009948E8">
        <w:trPr>
          <w:trHeight w:val="705"/>
        </w:trPr>
        <w:tc>
          <w:tcPr>
            <w:tcW w:w="555" w:type="dxa"/>
            <w:vMerge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</w:p>
        </w:tc>
        <w:tc>
          <w:tcPr>
            <w:tcW w:w="1708" w:type="dxa"/>
            <w:hideMark/>
          </w:tcPr>
          <w:p w:rsidR="00082663" w:rsidRPr="006479C6" w:rsidRDefault="00082663" w:rsidP="000459F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Всього за напрямом:</w:t>
            </w:r>
          </w:p>
        </w:tc>
        <w:tc>
          <w:tcPr>
            <w:tcW w:w="1918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433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842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131" w:type="dxa"/>
            <w:hideMark/>
          </w:tcPr>
          <w:p w:rsidR="00082663" w:rsidRPr="006479C6" w:rsidRDefault="00082663" w:rsidP="00FE698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850,0</w:t>
            </w:r>
          </w:p>
        </w:tc>
        <w:tc>
          <w:tcPr>
            <w:tcW w:w="1211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700,0</w:t>
            </w:r>
          </w:p>
        </w:tc>
        <w:tc>
          <w:tcPr>
            <w:tcW w:w="1202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090,0</w:t>
            </w:r>
          </w:p>
        </w:tc>
        <w:tc>
          <w:tcPr>
            <w:tcW w:w="1134" w:type="dxa"/>
            <w:noWrap/>
            <w:hideMark/>
          </w:tcPr>
          <w:p w:rsidR="00082663" w:rsidRPr="006479C6" w:rsidRDefault="00082663" w:rsidP="00FE698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1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060,0</w:t>
            </w:r>
          </w:p>
        </w:tc>
        <w:tc>
          <w:tcPr>
            <w:tcW w:w="1665" w:type="dxa"/>
            <w:hideMark/>
          </w:tcPr>
          <w:p w:rsidR="00082663" w:rsidRPr="006479C6" w:rsidRDefault="0008266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 </w:t>
            </w:r>
          </w:p>
        </w:tc>
      </w:tr>
      <w:tr w:rsidR="00FE6983" w:rsidRPr="006479C6" w:rsidTr="009948E8">
        <w:trPr>
          <w:trHeight w:val="630"/>
        </w:trPr>
        <w:tc>
          <w:tcPr>
            <w:tcW w:w="2263" w:type="dxa"/>
            <w:gridSpan w:val="2"/>
            <w:noWrap/>
            <w:hideMark/>
          </w:tcPr>
          <w:p w:rsidR="00FE6983" w:rsidRPr="006479C6" w:rsidRDefault="00FE6983" w:rsidP="00FE698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Всього за Програмою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>:</w:t>
            </w:r>
          </w:p>
        </w:tc>
        <w:tc>
          <w:tcPr>
            <w:tcW w:w="1918" w:type="dxa"/>
            <w:noWrap/>
            <w:hideMark/>
          </w:tcPr>
          <w:p w:rsidR="00FE6983" w:rsidRPr="006479C6" w:rsidRDefault="00FE698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044" w:type="dxa"/>
            <w:noWrap/>
            <w:hideMark/>
          </w:tcPr>
          <w:p w:rsidR="00FE6983" w:rsidRPr="006479C6" w:rsidRDefault="00FE698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433" w:type="dxa"/>
            <w:noWrap/>
            <w:hideMark/>
          </w:tcPr>
          <w:p w:rsidR="00FE6983" w:rsidRPr="006479C6" w:rsidRDefault="00FE698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FE6983" w:rsidRPr="006479C6" w:rsidRDefault="00FE698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 </w:t>
            </w:r>
          </w:p>
        </w:tc>
        <w:tc>
          <w:tcPr>
            <w:tcW w:w="1131" w:type="dxa"/>
            <w:hideMark/>
          </w:tcPr>
          <w:p w:rsidR="00FE6983" w:rsidRPr="006479C6" w:rsidRDefault="00FE6983" w:rsidP="00FE698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25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250,0</w:t>
            </w:r>
          </w:p>
        </w:tc>
        <w:tc>
          <w:tcPr>
            <w:tcW w:w="1211" w:type="dxa"/>
            <w:noWrap/>
            <w:hideMark/>
          </w:tcPr>
          <w:p w:rsidR="00FE6983" w:rsidRPr="006479C6" w:rsidRDefault="00FE6983" w:rsidP="00FE698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7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620,0</w:t>
            </w:r>
          </w:p>
        </w:tc>
        <w:tc>
          <w:tcPr>
            <w:tcW w:w="1202" w:type="dxa"/>
            <w:noWrap/>
            <w:hideMark/>
          </w:tcPr>
          <w:p w:rsidR="00FE6983" w:rsidRPr="006479C6" w:rsidRDefault="00FE6983" w:rsidP="00FE698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8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780,0</w:t>
            </w:r>
          </w:p>
        </w:tc>
        <w:tc>
          <w:tcPr>
            <w:tcW w:w="1134" w:type="dxa"/>
            <w:noWrap/>
            <w:hideMark/>
          </w:tcPr>
          <w:p w:rsidR="00FE6983" w:rsidRPr="006479C6" w:rsidRDefault="00FE6983" w:rsidP="00FE6983">
            <w:pPr>
              <w:shd w:val="clear" w:color="auto" w:fill="FFFFFF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8</w:t>
            </w:r>
            <w:r w:rsidR="004E69E3"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val="uk-UA" w:eastAsia="ru-RU"/>
              </w:rPr>
              <w:t xml:space="preserve"> </w:t>
            </w:r>
            <w:r w:rsidRPr="006479C6">
              <w:rPr>
                <w:rFonts w:ascii="Times New Roman" w:eastAsia="Times New Roman" w:hAnsi="Times New Roman" w:cs="Times New Roman"/>
                <w:b/>
                <w:bCs/>
                <w:spacing w:val="-13"/>
                <w:lang w:eastAsia="ru-RU"/>
              </w:rPr>
              <w:t>850,0</w:t>
            </w:r>
          </w:p>
        </w:tc>
        <w:tc>
          <w:tcPr>
            <w:tcW w:w="1665" w:type="dxa"/>
            <w:noWrap/>
            <w:hideMark/>
          </w:tcPr>
          <w:p w:rsidR="00FE6983" w:rsidRPr="006479C6" w:rsidRDefault="00FE6983" w:rsidP="00082663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</w:pPr>
            <w:r w:rsidRPr="006479C6">
              <w:rPr>
                <w:rFonts w:ascii="Times New Roman" w:eastAsia="Times New Roman" w:hAnsi="Times New Roman" w:cs="Times New Roman"/>
                <w:bCs/>
                <w:spacing w:val="-13"/>
                <w:lang w:eastAsia="ru-RU"/>
              </w:rPr>
              <w:t> </w:t>
            </w:r>
          </w:p>
        </w:tc>
      </w:tr>
    </w:tbl>
    <w:p w:rsidR="00EF1399" w:rsidRPr="006479C6" w:rsidRDefault="00121DDD" w:rsidP="00EF1399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6479C6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  </w:t>
      </w:r>
    </w:p>
    <w:p w:rsidR="00EF1399" w:rsidRPr="006479C6" w:rsidRDefault="00EF1399" w:rsidP="00EF1399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EF1399" w:rsidRPr="006479C6" w:rsidRDefault="00EF1399" w:rsidP="00EF13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</w:p>
    <w:p w:rsidR="00595A7E" w:rsidRPr="00EF1399" w:rsidRDefault="00121DDD" w:rsidP="00EF1399">
      <w:pPr>
        <w:spacing w:after="0" w:line="240" w:lineRule="auto"/>
        <w:rPr>
          <w:rFonts w:ascii="Times New Roman" w:hAnsi="Times New Roman" w:cs="Times New Roman"/>
          <w:sz w:val="28"/>
          <w:szCs w:val="20"/>
          <w:lang w:val="uk-UA"/>
        </w:rPr>
      </w:pP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Секретар Чернівецької міської ради </w:t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  <w:t xml:space="preserve">              </w:t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</w:r>
      <w:r w:rsidRPr="006479C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ab/>
        <w:t>В.Продан</w:t>
      </w:r>
    </w:p>
    <w:sectPr w:rsidR="00595A7E" w:rsidRPr="00EF1399" w:rsidSect="001F1B97">
      <w:headerReference w:type="default" r:id="rId6"/>
      <w:footerReference w:type="default" r:id="rId7"/>
      <w:pgSz w:w="16838" w:h="11906" w:orient="landscape"/>
      <w:pgMar w:top="170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309" w:rsidRDefault="00525309" w:rsidP="00C90398">
      <w:pPr>
        <w:spacing w:after="0" w:line="240" w:lineRule="auto"/>
      </w:pPr>
      <w:r>
        <w:separator/>
      </w:r>
    </w:p>
  </w:endnote>
  <w:endnote w:type="continuationSeparator" w:id="0">
    <w:p w:rsidR="00525309" w:rsidRDefault="00525309" w:rsidP="00C9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87251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E69E3" w:rsidRPr="004E69E3" w:rsidRDefault="004E69E3">
        <w:pPr>
          <w:pStyle w:val="a6"/>
          <w:jc w:val="center"/>
          <w:rPr>
            <w:rFonts w:ascii="Times New Roman" w:hAnsi="Times New Roman" w:cs="Times New Roman"/>
          </w:rPr>
        </w:pPr>
        <w:r w:rsidRPr="004E69E3">
          <w:rPr>
            <w:rFonts w:ascii="Times New Roman" w:hAnsi="Times New Roman" w:cs="Times New Roman"/>
          </w:rPr>
          <w:fldChar w:fldCharType="begin"/>
        </w:r>
        <w:r w:rsidRPr="004E69E3">
          <w:rPr>
            <w:rFonts w:ascii="Times New Roman" w:hAnsi="Times New Roman" w:cs="Times New Roman"/>
          </w:rPr>
          <w:instrText>PAGE   \* MERGEFORMAT</w:instrText>
        </w:r>
        <w:r w:rsidRPr="004E69E3">
          <w:rPr>
            <w:rFonts w:ascii="Times New Roman" w:hAnsi="Times New Roman" w:cs="Times New Roman"/>
          </w:rPr>
          <w:fldChar w:fldCharType="separate"/>
        </w:r>
        <w:r w:rsidR="00251B6E">
          <w:rPr>
            <w:rFonts w:ascii="Times New Roman" w:hAnsi="Times New Roman" w:cs="Times New Roman"/>
            <w:noProof/>
          </w:rPr>
          <w:t>3</w:t>
        </w:r>
        <w:r w:rsidRPr="004E69E3">
          <w:rPr>
            <w:rFonts w:ascii="Times New Roman" w:hAnsi="Times New Roman" w:cs="Times New Roman"/>
          </w:rPr>
          <w:fldChar w:fldCharType="end"/>
        </w:r>
      </w:p>
    </w:sdtContent>
  </w:sdt>
  <w:p w:rsidR="004E69E3" w:rsidRDefault="004E69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309" w:rsidRDefault="00525309" w:rsidP="00C90398">
      <w:pPr>
        <w:spacing w:after="0" w:line="240" w:lineRule="auto"/>
      </w:pPr>
      <w:r>
        <w:separator/>
      </w:r>
    </w:p>
  </w:footnote>
  <w:footnote w:type="continuationSeparator" w:id="0">
    <w:p w:rsidR="00525309" w:rsidRDefault="00525309" w:rsidP="00C90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9E3" w:rsidRDefault="004E69E3">
    <w:pPr>
      <w:pStyle w:val="a4"/>
      <w:rPr>
        <w:rFonts w:ascii="Times New Roman" w:hAnsi="Times New Roman" w:cs="Times New Roman"/>
        <w:b/>
        <w:sz w:val="24"/>
        <w:lang w:val="uk-UA"/>
      </w:rPr>
    </w:pPr>
    <w:r>
      <w:rPr>
        <w:rFonts w:ascii="Times New Roman" w:hAnsi="Times New Roman" w:cs="Times New Roman"/>
        <w:b/>
        <w:sz w:val="24"/>
        <w:lang w:val="uk-UA"/>
      </w:rPr>
      <w:t xml:space="preserve">                                </w:t>
    </w:r>
  </w:p>
  <w:p w:rsidR="004E69E3" w:rsidRDefault="004E69E3">
    <w:pPr>
      <w:pStyle w:val="a4"/>
      <w:rPr>
        <w:rFonts w:ascii="Times New Roman" w:hAnsi="Times New Roman" w:cs="Times New Roman"/>
        <w:b/>
        <w:sz w:val="20"/>
        <w:lang w:val="uk-UA"/>
      </w:rPr>
    </w:pPr>
    <w:r>
      <w:rPr>
        <w:rFonts w:ascii="Times New Roman" w:hAnsi="Times New Roman" w:cs="Times New Roman"/>
        <w:b/>
        <w:sz w:val="20"/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4E69E3" w:rsidRPr="001F1B97" w:rsidRDefault="004E69E3">
    <w:pPr>
      <w:pStyle w:val="a4"/>
      <w:rPr>
        <w:rFonts w:ascii="Times New Roman" w:hAnsi="Times New Roman" w:cs="Times New Roman"/>
        <w:b/>
        <w:lang w:val="uk-UA"/>
      </w:rPr>
    </w:pPr>
    <w:r>
      <w:rPr>
        <w:rFonts w:ascii="Times New Roman" w:hAnsi="Times New Roman" w:cs="Times New Roman"/>
        <w:b/>
        <w:sz w:val="20"/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1F1B97">
      <w:rPr>
        <w:rFonts w:ascii="Times New Roman" w:hAnsi="Times New Roman" w:cs="Times New Roman"/>
        <w:b/>
        <w:lang w:val="uk-UA"/>
      </w:rPr>
      <w:t>Продовження додатк</w:t>
    </w:r>
    <w:r>
      <w:rPr>
        <w:rFonts w:ascii="Times New Roman" w:hAnsi="Times New Roman" w:cs="Times New Roman"/>
        <w:b/>
        <w:lang w:val="uk-UA"/>
      </w:rPr>
      <w:t>а</w:t>
    </w:r>
    <w:r w:rsidRPr="001F1B97">
      <w:rPr>
        <w:rFonts w:ascii="Times New Roman" w:hAnsi="Times New Roman" w:cs="Times New Roman"/>
        <w:b/>
        <w:lang w:val="uk-UA"/>
      </w:rPr>
      <w:t xml:space="preserve"> 3</w:t>
    </w:r>
  </w:p>
  <w:tbl>
    <w:tblPr>
      <w:tblStyle w:val="a3"/>
      <w:tblW w:w="0" w:type="auto"/>
      <w:tblLayout w:type="fixed"/>
      <w:tblLook w:val="04A0" w:firstRow="1" w:lastRow="0" w:firstColumn="1" w:lastColumn="0" w:noHBand="0" w:noVBand="1"/>
    </w:tblPr>
    <w:tblGrid>
      <w:gridCol w:w="555"/>
      <w:gridCol w:w="1708"/>
      <w:gridCol w:w="1918"/>
      <w:gridCol w:w="1044"/>
      <w:gridCol w:w="1433"/>
      <w:gridCol w:w="1842"/>
      <w:gridCol w:w="1131"/>
      <w:gridCol w:w="1211"/>
      <w:gridCol w:w="1202"/>
      <w:gridCol w:w="1134"/>
      <w:gridCol w:w="1665"/>
    </w:tblGrid>
    <w:tr w:rsidR="004E69E3" w:rsidRPr="00615A4F" w:rsidTr="004E69E3">
      <w:trPr>
        <w:trHeight w:val="170"/>
      </w:trPr>
      <w:tc>
        <w:tcPr>
          <w:tcW w:w="555" w:type="dxa"/>
          <w:hideMark/>
        </w:tcPr>
        <w:p w:rsidR="004E69E3" w:rsidRPr="00615A4F" w:rsidRDefault="004E69E3" w:rsidP="00350E91">
          <w:pPr>
            <w:shd w:val="clear" w:color="auto" w:fill="FFFFFF"/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</w:pPr>
          <w:r w:rsidRPr="00615A4F"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  <w:t>1</w:t>
          </w:r>
        </w:p>
      </w:tc>
      <w:tc>
        <w:tcPr>
          <w:tcW w:w="1708" w:type="dxa"/>
          <w:hideMark/>
        </w:tcPr>
        <w:p w:rsidR="004E69E3" w:rsidRPr="00615A4F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</w:pPr>
          <w:r w:rsidRPr="00615A4F"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  <w:t>2</w:t>
          </w:r>
        </w:p>
      </w:tc>
      <w:tc>
        <w:tcPr>
          <w:tcW w:w="1918" w:type="dxa"/>
          <w:hideMark/>
        </w:tcPr>
        <w:p w:rsidR="004E69E3" w:rsidRPr="00615A4F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</w:pPr>
          <w:r w:rsidRPr="00615A4F"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  <w:t>3</w:t>
          </w:r>
        </w:p>
      </w:tc>
      <w:tc>
        <w:tcPr>
          <w:tcW w:w="1044" w:type="dxa"/>
          <w:hideMark/>
        </w:tcPr>
        <w:p w:rsidR="004E69E3" w:rsidRPr="00615A4F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</w:pPr>
          <w:r w:rsidRPr="00615A4F"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  <w:t>4</w:t>
          </w:r>
        </w:p>
      </w:tc>
      <w:tc>
        <w:tcPr>
          <w:tcW w:w="1433" w:type="dxa"/>
          <w:hideMark/>
        </w:tcPr>
        <w:p w:rsidR="004E69E3" w:rsidRPr="00615A4F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</w:pPr>
          <w:r w:rsidRPr="00615A4F"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  <w:t>5</w:t>
          </w:r>
        </w:p>
      </w:tc>
      <w:tc>
        <w:tcPr>
          <w:tcW w:w="1842" w:type="dxa"/>
          <w:hideMark/>
        </w:tcPr>
        <w:p w:rsidR="004E69E3" w:rsidRPr="00615A4F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</w:pPr>
          <w:r w:rsidRPr="00615A4F"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  <w:t>6</w:t>
          </w:r>
        </w:p>
      </w:tc>
      <w:tc>
        <w:tcPr>
          <w:tcW w:w="1131" w:type="dxa"/>
          <w:hideMark/>
        </w:tcPr>
        <w:p w:rsidR="004E69E3" w:rsidRPr="001F1B97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val="uk-UA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pacing w:val="-13"/>
              <w:lang w:val="uk-UA" w:eastAsia="ru-RU"/>
            </w:rPr>
            <w:t>7</w:t>
          </w:r>
        </w:p>
      </w:tc>
      <w:tc>
        <w:tcPr>
          <w:tcW w:w="1211" w:type="dxa"/>
          <w:hideMark/>
        </w:tcPr>
        <w:p w:rsidR="004E69E3" w:rsidRPr="001F1B97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val="uk-UA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pacing w:val="-13"/>
              <w:lang w:val="uk-UA" w:eastAsia="ru-RU"/>
            </w:rPr>
            <w:t>8</w:t>
          </w:r>
        </w:p>
      </w:tc>
      <w:tc>
        <w:tcPr>
          <w:tcW w:w="1202" w:type="dxa"/>
          <w:hideMark/>
        </w:tcPr>
        <w:p w:rsidR="004E69E3" w:rsidRPr="001F1B97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val="uk-UA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pacing w:val="-13"/>
              <w:lang w:val="uk-UA" w:eastAsia="ru-RU"/>
            </w:rPr>
            <w:t>9</w:t>
          </w:r>
        </w:p>
      </w:tc>
      <w:tc>
        <w:tcPr>
          <w:tcW w:w="1134" w:type="dxa"/>
          <w:hideMark/>
        </w:tcPr>
        <w:p w:rsidR="004E69E3" w:rsidRPr="00615A4F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pacing w:val="-13"/>
              <w:lang w:val="uk-UA" w:eastAsia="ru-RU"/>
            </w:rPr>
            <w:t>10</w:t>
          </w:r>
        </w:p>
      </w:tc>
      <w:tc>
        <w:tcPr>
          <w:tcW w:w="1665" w:type="dxa"/>
          <w:hideMark/>
        </w:tcPr>
        <w:p w:rsidR="004E69E3" w:rsidRPr="00615A4F" w:rsidRDefault="004E69E3" w:rsidP="00350E91">
          <w:pPr>
            <w:shd w:val="clear" w:color="auto" w:fill="FFFFFF"/>
            <w:ind w:left="284"/>
            <w:jc w:val="center"/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</w:pPr>
          <w:r w:rsidRPr="00615A4F">
            <w:rPr>
              <w:rFonts w:ascii="Times New Roman" w:eastAsia="Times New Roman" w:hAnsi="Times New Roman" w:cs="Times New Roman"/>
              <w:b/>
              <w:bCs/>
              <w:spacing w:val="-13"/>
              <w:lang w:eastAsia="ru-RU"/>
            </w:rPr>
            <w:t>1</w:t>
          </w:r>
          <w:r>
            <w:rPr>
              <w:rFonts w:ascii="Times New Roman" w:eastAsia="Times New Roman" w:hAnsi="Times New Roman" w:cs="Times New Roman"/>
              <w:b/>
              <w:bCs/>
              <w:spacing w:val="-13"/>
              <w:lang w:val="uk-UA" w:eastAsia="ru-RU"/>
            </w:rPr>
            <w:t>1</w:t>
          </w:r>
        </w:p>
      </w:tc>
    </w:tr>
  </w:tbl>
  <w:p w:rsidR="004E69E3" w:rsidRDefault="004E69E3">
    <w:pPr>
      <w:pStyle w:val="a4"/>
      <w:rPr>
        <w:rFonts w:ascii="Times New Roman" w:hAnsi="Times New Roman" w:cs="Times New Roman"/>
        <w:b/>
        <w:sz w:val="20"/>
        <w:lang w:val="uk-UA"/>
      </w:rPr>
    </w:pPr>
    <w:r>
      <w:rPr>
        <w:rFonts w:ascii="Times New Roman" w:hAnsi="Times New Roman" w:cs="Times New Roman"/>
        <w:b/>
        <w:sz w:val="24"/>
        <w:lang w:val="uk-UA"/>
      </w:rPr>
      <w:t xml:space="preserve">                                                                                                                                                                                                   </w:t>
    </w:r>
    <w:r w:rsidRPr="00015DA4">
      <w:rPr>
        <w:rFonts w:ascii="Times New Roman" w:hAnsi="Times New Roman" w:cs="Times New Roman"/>
        <w:b/>
        <w:sz w:val="20"/>
        <w:lang w:val="uk-UA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sz w:val="20"/>
        <w:lang w:val="uk-UA"/>
      </w:rPr>
      <w:t xml:space="preserve">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0F0"/>
    <w:rsid w:val="00015DA4"/>
    <w:rsid w:val="000459FD"/>
    <w:rsid w:val="00056F83"/>
    <w:rsid w:val="00082663"/>
    <w:rsid w:val="00121DDD"/>
    <w:rsid w:val="00175B51"/>
    <w:rsid w:val="00184ADC"/>
    <w:rsid w:val="001E3C7A"/>
    <w:rsid w:val="001F1B97"/>
    <w:rsid w:val="00251B6E"/>
    <w:rsid w:val="002763B1"/>
    <w:rsid w:val="002A0ED9"/>
    <w:rsid w:val="002A18CC"/>
    <w:rsid w:val="002B570B"/>
    <w:rsid w:val="00313031"/>
    <w:rsid w:val="00350E91"/>
    <w:rsid w:val="00353721"/>
    <w:rsid w:val="003B6B81"/>
    <w:rsid w:val="00434FAF"/>
    <w:rsid w:val="00435832"/>
    <w:rsid w:val="004A4EB2"/>
    <w:rsid w:val="004A5FEF"/>
    <w:rsid w:val="004E69E3"/>
    <w:rsid w:val="00504C8F"/>
    <w:rsid w:val="00525309"/>
    <w:rsid w:val="005577F3"/>
    <w:rsid w:val="00595A7E"/>
    <w:rsid w:val="005C5D15"/>
    <w:rsid w:val="00615A4F"/>
    <w:rsid w:val="006479C6"/>
    <w:rsid w:val="00681D0A"/>
    <w:rsid w:val="0069284C"/>
    <w:rsid w:val="007246E9"/>
    <w:rsid w:val="00803351"/>
    <w:rsid w:val="00882374"/>
    <w:rsid w:val="009023EA"/>
    <w:rsid w:val="009948E8"/>
    <w:rsid w:val="009C34C9"/>
    <w:rsid w:val="00B676D3"/>
    <w:rsid w:val="00B91CC3"/>
    <w:rsid w:val="00BE327B"/>
    <w:rsid w:val="00C23FC3"/>
    <w:rsid w:val="00C45787"/>
    <w:rsid w:val="00C65448"/>
    <w:rsid w:val="00C77FAB"/>
    <w:rsid w:val="00C90398"/>
    <w:rsid w:val="00CB5ED8"/>
    <w:rsid w:val="00CE6235"/>
    <w:rsid w:val="00D40F80"/>
    <w:rsid w:val="00D85E58"/>
    <w:rsid w:val="00DE6E92"/>
    <w:rsid w:val="00E90910"/>
    <w:rsid w:val="00ED0020"/>
    <w:rsid w:val="00EF1399"/>
    <w:rsid w:val="00F520F0"/>
    <w:rsid w:val="00FB7EDA"/>
    <w:rsid w:val="00FE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976D5A-B303-42BA-9CD4-B27207EA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0398"/>
  </w:style>
  <w:style w:type="paragraph" w:styleId="a6">
    <w:name w:val="footer"/>
    <w:basedOn w:val="a"/>
    <w:link w:val="a7"/>
    <w:uiPriority w:val="99"/>
    <w:unhideWhenUsed/>
    <w:rsid w:val="00C9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0398"/>
  </w:style>
  <w:style w:type="paragraph" w:styleId="a8">
    <w:name w:val="Balloon Text"/>
    <w:basedOn w:val="a"/>
    <w:link w:val="a9"/>
    <w:uiPriority w:val="99"/>
    <w:semiHidden/>
    <w:unhideWhenUsed/>
    <w:rsid w:val="00015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5D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2738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2020-10-06T07:05:00Z</cp:lastPrinted>
  <dcterms:created xsi:type="dcterms:W3CDTF">2020-11-24T14:42:00Z</dcterms:created>
  <dcterms:modified xsi:type="dcterms:W3CDTF">2020-11-24T14:42:00Z</dcterms:modified>
</cp:coreProperties>
</file>