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AF0B6B" w:rsidRPr="00CB1839" w:rsidTr="00AD6188">
        <w:trPr>
          <w:trHeight w:val="360"/>
        </w:trPr>
        <w:tc>
          <w:tcPr>
            <w:tcW w:w="9540" w:type="dxa"/>
          </w:tcPr>
          <w:p w:rsidR="00AF0B6B" w:rsidRPr="00CB1839" w:rsidRDefault="00AF0B6B" w:rsidP="00AD6188">
            <w:pPr>
              <w:rPr>
                <w:b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5400" w:type="dxa"/>
          </w:tcPr>
          <w:p w:rsidR="00AF0B6B" w:rsidRPr="00CB1839" w:rsidRDefault="00AF0B6B" w:rsidP="00AD6188">
            <w:pPr>
              <w:rPr>
                <w:b/>
                <w:lang w:val="uk-UA"/>
              </w:rPr>
            </w:pPr>
            <w:r w:rsidRPr="00CB1839">
              <w:rPr>
                <w:b/>
              </w:rPr>
              <w:t xml:space="preserve">Додаток </w:t>
            </w:r>
            <w:r w:rsidR="00A15DB8" w:rsidRPr="00CB1839">
              <w:rPr>
                <w:b/>
                <w:lang w:val="uk-UA"/>
              </w:rPr>
              <w:t>3</w:t>
            </w:r>
          </w:p>
          <w:p w:rsidR="00AF0B6B" w:rsidRPr="00CB1839" w:rsidRDefault="00AF0B6B" w:rsidP="00AD6188">
            <w:pPr>
              <w:widowControl w:val="0"/>
              <w:rPr>
                <w:lang w:val="uk-UA"/>
              </w:rPr>
            </w:pPr>
            <w:r w:rsidRPr="00CB1839">
              <w:t xml:space="preserve">до </w:t>
            </w:r>
            <w:r w:rsidRPr="00CB1839">
              <w:rPr>
                <w:b/>
              </w:rPr>
              <w:t>Програми</w:t>
            </w:r>
            <w:r w:rsidR="00E21EA4">
              <w:rPr>
                <w:b/>
                <w:sz w:val="28"/>
                <w:lang w:val="uk-UA"/>
              </w:rPr>
              <w:t xml:space="preserve"> </w:t>
            </w:r>
            <w:r w:rsidR="00E21EA4" w:rsidRPr="00E21EA4">
              <w:rPr>
                <w:b/>
                <w:lang w:val="uk-UA"/>
              </w:rPr>
              <w:t>проти</w:t>
            </w:r>
            <w:r w:rsidR="00162FCE">
              <w:rPr>
                <w:b/>
                <w:lang w:val="uk-UA"/>
              </w:rPr>
              <w:t>дії розповсюдженню</w:t>
            </w:r>
            <w:r w:rsidR="00E21EA4" w:rsidRPr="00E21EA4">
              <w:rPr>
                <w:b/>
                <w:lang w:val="uk-UA"/>
              </w:rPr>
              <w:t xml:space="preserve"> наркотиків в м. Чернівцях на 2021- 2023 роки</w:t>
            </w:r>
            <w:r w:rsidRPr="00CB1839">
              <w:rPr>
                <w:b/>
                <w:lang w:val="uk-UA"/>
              </w:rPr>
              <w:t xml:space="preserve"> «Місто соціальної рівності, можливостей та безпеки», </w:t>
            </w:r>
            <w:r w:rsidRPr="00CB1839">
              <w:rPr>
                <w:lang w:val="uk-UA"/>
              </w:rPr>
              <w:t>затвердженої рішенням</w:t>
            </w:r>
            <w:r w:rsidR="000C3260">
              <w:rPr>
                <w:lang w:val="uk-UA"/>
              </w:rPr>
              <w:t xml:space="preserve">  85 сесії</w:t>
            </w:r>
            <w:r w:rsidRPr="00CB1839">
              <w:rPr>
                <w:lang w:val="uk-UA"/>
              </w:rPr>
              <w:t xml:space="preserve"> міської ради </w:t>
            </w:r>
            <w:r w:rsidRPr="00CB1839">
              <w:rPr>
                <w:lang w:val="en-US"/>
              </w:rPr>
              <w:t>VII</w:t>
            </w:r>
            <w:r w:rsidRPr="00CB1839">
              <w:t xml:space="preserve"> скликання </w:t>
            </w:r>
            <w:r w:rsidRPr="00CB1839">
              <w:rPr>
                <w:lang w:val="uk-UA"/>
              </w:rPr>
              <w:t xml:space="preserve"> </w:t>
            </w:r>
          </w:p>
          <w:p w:rsidR="00AF0B6B" w:rsidRPr="00CB1839" w:rsidRDefault="000C3260" w:rsidP="00AD6188">
            <w:pPr>
              <w:widowControl w:val="0"/>
              <w:rPr>
                <w:b/>
                <w:sz w:val="28"/>
                <w:szCs w:val="28"/>
                <w:lang w:val="uk-UA"/>
              </w:rPr>
            </w:pPr>
            <w:r w:rsidRPr="000C3260">
              <w:rPr>
                <w:u w:val="single"/>
                <w:lang w:val="uk-UA"/>
              </w:rPr>
              <w:t>18.11.2020№2470</w:t>
            </w:r>
          </w:p>
        </w:tc>
      </w:tr>
    </w:tbl>
    <w:p w:rsidR="00AF0B6B" w:rsidRDefault="00AF0B6B" w:rsidP="00AF0B6B">
      <w:pPr>
        <w:widowControl w:val="0"/>
        <w:jc w:val="center"/>
        <w:rPr>
          <w:b/>
          <w:sz w:val="28"/>
          <w:szCs w:val="28"/>
          <w:lang w:val="uk-UA"/>
        </w:rPr>
      </w:pPr>
    </w:p>
    <w:p w:rsidR="00AF0B6B" w:rsidRDefault="00A15DB8" w:rsidP="00AF0B6B">
      <w:pPr>
        <w:tabs>
          <w:tab w:val="left" w:pos="8371"/>
        </w:tabs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Напрями діяльності та заходи</w:t>
      </w:r>
      <w:r w:rsidR="00AF0B6B">
        <w:rPr>
          <w:b/>
          <w:color w:val="000000"/>
          <w:sz w:val="28"/>
          <w:lang w:val="uk-UA"/>
        </w:rPr>
        <w:t xml:space="preserve">                         </w:t>
      </w:r>
    </w:p>
    <w:p w:rsidR="00AF0B6B" w:rsidRPr="00FA3545" w:rsidRDefault="00AF0B6B" w:rsidP="00AF0B6B">
      <w:pPr>
        <w:tabs>
          <w:tab w:val="left" w:pos="8371"/>
        </w:tabs>
        <w:jc w:val="center"/>
        <w:rPr>
          <w:b/>
          <w:color w:val="000000"/>
          <w:sz w:val="28"/>
          <w:lang w:val="uk-UA"/>
        </w:rPr>
      </w:pPr>
      <w:r w:rsidRPr="005E38C2">
        <w:rPr>
          <w:b/>
          <w:color w:val="000000"/>
          <w:sz w:val="28"/>
          <w:lang w:val="uk-UA"/>
        </w:rPr>
        <w:t xml:space="preserve">Програми </w:t>
      </w:r>
      <w:r w:rsidR="00E21EA4">
        <w:rPr>
          <w:b/>
          <w:sz w:val="28"/>
          <w:lang w:val="uk-UA"/>
        </w:rPr>
        <w:t>проти</w:t>
      </w:r>
      <w:r w:rsidR="00162FCE">
        <w:rPr>
          <w:b/>
          <w:sz w:val="28"/>
          <w:lang w:val="uk-UA"/>
        </w:rPr>
        <w:t>дії розповсюдженню</w:t>
      </w:r>
      <w:r w:rsidR="00E21EA4">
        <w:rPr>
          <w:b/>
          <w:sz w:val="28"/>
          <w:lang w:val="uk-UA"/>
        </w:rPr>
        <w:t xml:space="preserve"> наркотиків в м. Чернівцях </w:t>
      </w:r>
      <w:r w:rsidR="00E21EA4" w:rsidRPr="00E03D0F">
        <w:rPr>
          <w:b/>
          <w:sz w:val="28"/>
          <w:lang w:val="uk-UA"/>
        </w:rPr>
        <w:t>на 2021- 2023 роки</w:t>
      </w:r>
      <w:r w:rsidR="00E21EA4" w:rsidRPr="00FA3545">
        <w:rPr>
          <w:b/>
          <w:color w:val="000000"/>
          <w:sz w:val="28"/>
          <w:lang w:val="uk-UA"/>
        </w:rPr>
        <w:t xml:space="preserve"> </w:t>
      </w:r>
      <w:r w:rsidRPr="00FA3545">
        <w:rPr>
          <w:b/>
          <w:color w:val="000000"/>
          <w:sz w:val="28"/>
          <w:lang w:val="uk-UA"/>
        </w:rPr>
        <w:t>«Місто соціальної рівності, можливостей та безпеки</w:t>
      </w:r>
      <w:r>
        <w:rPr>
          <w:b/>
          <w:color w:val="000000"/>
          <w:sz w:val="28"/>
          <w:lang w:val="uk-UA"/>
        </w:rPr>
        <w:t>»</w:t>
      </w:r>
    </w:p>
    <w:p w:rsidR="00B2459E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"/>
        <w:gridCol w:w="3087"/>
        <w:gridCol w:w="1842"/>
        <w:gridCol w:w="1530"/>
        <w:gridCol w:w="900"/>
        <w:gridCol w:w="900"/>
        <w:gridCol w:w="900"/>
        <w:gridCol w:w="900"/>
        <w:gridCol w:w="3780"/>
      </w:tblGrid>
      <w:tr w:rsidR="00CF4B01" w:rsidTr="00CB183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41" w:type="dxa"/>
            <w:vMerge w:val="restart"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3087" w:type="dxa"/>
            <w:vMerge w:val="restart"/>
            <w:vAlign w:val="center"/>
          </w:tcPr>
          <w:p w:rsidR="00CF4B01" w:rsidRPr="00CF4B01" w:rsidRDefault="00CF4B01" w:rsidP="00CF4B0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842" w:type="dxa"/>
            <w:vMerge w:val="restart"/>
            <w:vAlign w:val="center"/>
          </w:tcPr>
          <w:p w:rsidR="00CF4B01" w:rsidRPr="00CF4B01" w:rsidRDefault="00CF4B01" w:rsidP="00CF4B0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1530" w:type="dxa"/>
            <w:vMerge w:val="restart"/>
            <w:vAlign w:val="center"/>
          </w:tcPr>
          <w:p w:rsidR="00CF4B01" w:rsidRPr="00CF4B01" w:rsidRDefault="00CF4B01" w:rsidP="00CF4B0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600" w:type="dxa"/>
            <w:gridSpan w:val="4"/>
            <w:shd w:val="clear" w:color="auto" w:fill="auto"/>
            <w:vAlign w:val="center"/>
          </w:tcPr>
          <w:p w:rsidR="00CF4B01" w:rsidRPr="00CF4B01" w:rsidRDefault="00CF4B01" w:rsidP="00CF4B0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color w:val="000000"/>
                <w:sz w:val="20"/>
                <w:szCs w:val="20"/>
                <w:lang w:val="uk-UA"/>
              </w:rPr>
              <w:t>Орієнтовний обсяг фінансування (тис.</w:t>
            </w:r>
            <w:r w:rsidR="00A932D3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CF4B01">
              <w:rPr>
                <w:b/>
                <w:color w:val="000000"/>
                <w:sz w:val="20"/>
                <w:szCs w:val="20"/>
                <w:lang w:val="uk-UA"/>
              </w:rPr>
              <w:t>грн.)</w:t>
            </w:r>
          </w:p>
        </w:tc>
        <w:tc>
          <w:tcPr>
            <w:tcW w:w="3780" w:type="dxa"/>
            <w:vMerge w:val="restart"/>
            <w:vAlign w:val="center"/>
          </w:tcPr>
          <w:p w:rsidR="00CF4B01" w:rsidRPr="00CF4B01" w:rsidRDefault="00CF4B01" w:rsidP="00CF4B0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b/>
                <w:sz w:val="20"/>
                <w:szCs w:val="20"/>
              </w:rPr>
              <w:t>Очікувані результати</w:t>
            </w:r>
          </w:p>
        </w:tc>
      </w:tr>
      <w:tr w:rsidR="00CF4B01" w:rsidTr="00CB1839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741" w:type="dxa"/>
            <w:vMerge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87" w:type="dxa"/>
            <w:vMerge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sz w:val="20"/>
                <w:szCs w:val="20"/>
              </w:rPr>
            </w:pPr>
            <w:r w:rsidRPr="00CF4B01">
              <w:rPr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900" w:type="dxa"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900" w:type="dxa"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00" w:type="dxa"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F4B01">
              <w:rPr>
                <w:color w:val="000000"/>
                <w:sz w:val="20"/>
                <w:szCs w:val="20"/>
                <w:lang w:val="uk-UA"/>
              </w:rPr>
              <w:t>2023</w:t>
            </w:r>
          </w:p>
        </w:tc>
        <w:tc>
          <w:tcPr>
            <w:tcW w:w="3780" w:type="dxa"/>
            <w:vMerge/>
            <w:vAlign w:val="center"/>
          </w:tcPr>
          <w:p w:rsidR="00CF4B01" w:rsidRPr="00CF4B01" w:rsidRDefault="00CF4B01" w:rsidP="00CF4B01">
            <w:pPr>
              <w:spacing w:line="480" w:lineRule="auto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A15DB8" w:rsidTr="00CB183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80" w:type="dxa"/>
            <w:gridSpan w:val="9"/>
          </w:tcPr>
          <w:p w:rsidR="00A15DB8" w:rsidRPr="00CB1839" w:rsidRDefault="00A15DB8" w:rsidP="00CF4B01">
            <w:pPr>
              <w:jc w:val="both"/>
              <w:rPr>
                <w:rFonts w:ascii="Arial" w:hAnsi="Arial"/>
                <w:b/>
                <w:sz w:val="28"/>
                <w:szCs w:val="28"/>
                <w:lang w:val="uk-UA"/>
              </w:rPr>
            </w:pPr>
            <w:r w:rsidRPr="00CB1839">
              <w:rPr>
                <w:b/>
                <w:sz w:val="28"/>
                <w:szCs w:val="28"/>
                <w:lang w:val="uk-UA"/>
              </w:rPr>
              <w:t>1</w:t>
            </w:r>
            <w:r w:rsidR="00CF4B01" w:rsidRPr="00CB1839">
              <w:rPr>
                <w:b/>
                <w:sz w:val="28"/>
                <w:szCs w:val="28"/>
                <w:lang w:val="uk-UA"/>
              </w:rPr>
              <w:t>.</w:t>
            </w:r>
            <w:r w:rsidR="00E03D0F" w:rsidRPr="00CB1839"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CB1839">
              <w:rPr>
                <w:b/>
                <w:sz w:val="28"/>
                <w:szCs w:val="28"/>
                <w:lang w:val="uk-UA"/>
              </w:rPr>
              <w:t xml:space="preserve">провадження стандартів превентивної роботи в учнівському середовищі, зокрема, інформативних компетентностей з попередження вживання психоактивних речовин для учнів, батьків, класних керівників та адміністрацій навчальних закладів.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1.1.</w:t>
            </w:r>
          </w:p>
        </w:tc>
        <w:tc>
          <w:tcPr>
            <w:tcW w:w="3087" w:type="dxa"/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Створення умов для впровадження комплексу  профілактичних інтервенцій в навчальних закладах та структурного плану їх виконання, в т.ч. системи щорічного моніторингу рівня знань вчителів, учнів та їх батьків щодо впливу й ефективності профілактичних програм. 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jc w:val="both"/>
              <w:rPr>
                <w:lang w:val="ru-RU"/>
              </w:rPr>
            </w:pPr>
            <w:r w:rsidRPr="00CB1839">
              <w:rPr>
                <w:lang w:val="ru-RU"/>
              </w:rPr>
              <w:t>Управління освіти</w:t>
            </w:r>
            <w:r w:rsidR="00966B1E" w:rsidRPr="00CB1839">
              <w:rPr>
                <w:lang w:val="ru-RU"/>
              </w:rPr>
              <w:t xml:space="preserve"> Чернівецької міської ради</w:t>
            </w:r>
            <w:r w:rsidRPr="00CB1839">
              <w:rPr>
                <w:lang w:val="ru-RU"/>
              </w:rPr>
              <w:t xml:space="preserve">, </w:t>
            </w:r>
          </w:p>
          <w:p w:rsidR="00A15DB8" w:rsidRPr="00CB1839" w:rsidRDefault="00A15DB8" w:rsidP="00CF4B01">
            <w:pPr>
              <w:pStyle w:val="a5"/>
              <w:jc w:val="both"/>
              <w:rPr>
                <w:lang w:val="ru-RU"/>
              </w:rPr>
            </w:pPr>
            <w:r w:rsidRPr="00CB1839">
              <w:rPr>
                <w:lang w:val="ru-RU"/>
              </w:rPr>
              <w:t xml:space="preserve">громадські організації </w:t>
            </w:r>
          </w:p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t>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sz w:val="20"/>
                <w:szCs w:val="20"/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6,0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2,0</w:t>
            </w:r>
          </w:p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2,0</w:t>
            </w:r>
          </w:p>
          <w:p w:rsidR="00A15DB8" w:rsidRPr="00CF4B01" w:rsidRDefault="00A15DB8" w:rsidP="00AD6188">
            <w:pPr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2,0</w:t>
            </w:r>
          </w:p>
          <w:p w:rsidR="00A15DB8" w:rsidRPr="00CF4B01" w:rsidRDefault="00A15DB8" w:rsidP="00AD6188">
            <w:pPr>
              <w:jc w:val="center"/>
              <w:rPr>
                <w:rFonts w:ascii="Arial" w:hAnsi="Arial"/>
                <w:b/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780" w:type="dxa"/>
          </w:tcPr>
          <w:p w:rsidR="00A15DB8" w:rsidRPr="00CB1839" w:rsidRDefault="00AC2098" w:rsidP="002247BA">
            <w:pPr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="003E3FDC" w:rsidRPr="00C73B36">
              <w:rPr>
                <w:color w:val="000000"/>
                <w:lang w:val="uk-UA"/>
              </w:rPr>
              <w:t xml:space="preserve">ідповідно до плану та стандартів превентивної роботи в учнівському середовищі, </w:t>
            </w:r>
            <w:r w:rsidR="00C73B36" w:rsidRPr="00C73B36">
              <w:rPr>
                <w:color w:val="000000"/>
                <w:lang w:val="uk-UA"/>
              </w:rPr>
              <w:t>охоп</w:t>
            </w:r>
            <w:r>
              <w:rPr>
                <w:color w:val="000000"/>
                <w:lang w:val="uk-UA"/>
              </w:rPr>
              <w:t>лено 10.000 учнів 1-11 класів щодо</w:t>
            </w:r>
            <w:r w:rsidR="00C73B36">
              <w:rPr>
                <w:color w:val="000000"/>
                <w:lang w:val="uk-UA"/>
              </w:rPr>
              <w:t xml:space="preserve"> наслід</w:t>
            </w:r>
            <w:r>
              <w:rPr>
                <w:color w:val="000000"/>
                <w:lang w:val="uk-UA"/>
              </w:rPr>
              <w:t>ків</w:t>
            </w:r>
            <w:r w:rsidR="00C73B36">
              <w:rPr>
                <w:color w:val="000000"/>
                <w:lang w:val="uk-UA"/>
              </w:rPr>
              <w:t xml:space="preserve"> вживання психоактивних речовин.    </w:t>
            </w:r>
            <w:r w:rsidR="00C73B36">
              <w:t xml:space="preserve"> </w:t>
            </w:r>
            <w:r w:rsidR="00C73B36">
              <w:rPr>
                <w:color w:val="000000"/>
                <w:lang w:val="uk-UA"/>
              </w:rPr>
              <w:t xml:space="preserve">  </w:t>
            </w:r>
            <w:r w:rsidR="00C73B36">
              <w:rPr>
                <w:color w:val="000000"/>
                <w:highlight w:val="yellow"/>
                <w:lang w:val="uk-UA"/>
              </w:rPr>
              <w:t xml:space="preserve"> </w:t>
            </w:r>
            <w:r w:rsidR="00A15DB8" w:rsidRPr="00CB1839">
              <w:rPr>
                <w:color w:val="000000"/>
                <w:highlight w:val="yellow"/>
                <w:lang w:val="uk-UA"/>
              </w:rPr>
              <w:t xml:space="preserve">  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1539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1.2.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>Впровадження онлайн курсу соціальної, сімейної  компетенції батьків учнів 1-11 класів з попередження вживання психоактивних речовин в учнівському середовищі.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Управління освіти</w:t>
            </w:r>
            <w:r w:rsidR="00966B1E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</w:t>
            </w:r>
          </w:p>
          <w:p w:rsidR="00A15DB8" w:rsidRPr="00CB1839" w:rsidRDefault="00A15DB8" w:rsidP="00CF4B01">
            <w:pPr>
              <w:jc w:val="both"/>
              <w:rPr>
                <w:rFonts w:ascii="Arial" w:hAnsi="Arial"/>
                <w:b/>
                <w:lang w:val="uk-UA"/>
              </w:rPr>
            </w:pPr>
            <w:r w:rsidRPr="00CB1839">
              <w:t>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33,0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3780" w:type="dxa"/>
          </w:tcPr>
          <w:p w:rsidR="00A15DB8" w:rsidRPr="00CB1839" w:rsidRDefault="00650A9C" w:rsidP="002247BA">
            <w:pPr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 xml:space="preserve">Для </w:t>
            </w:r>
            <w:r w:rsidR="00C73B36" w:rsidRPr="00C73B36">
              <w:rPr>
                <w:color w:val="000000"/>
                <w:lang w:val="uk-UA"/>
              </w:rPr>
              <w:t>1500</w:t>
            </w:r>
            <w:r w:rsidR="00A15DB8" w:rsidRPr="00C73B36">
              <w:rPr>
                <w:color w:val="000000"/>
                <w:lang w:val="uk-UA"/>
              </w:rPr>
              <w:t xml:space="preserve"> батьків учнів 1-11 класів міста Чернівці, </w:t>
            </w:r>
            <w:r w:rsidR="00AC2098">
              <w:rPr>
                <w:color w:val="000000"/>
                <w:lang w:val="uk-UA"/>
              </w:rPr>
              <w:t>здійснено</w:t>
            </w:r>
            <w:r w:rsidR="00C73B36" w:rsidRPr="00C73B36">
              <w:rPr>
                <w:color w:val="000000"/>
                <w:lang w:val="uk-UA"/>
              </w:rPr>
              <w:t xml:space="preserve"> навчання онлайн-курс та підвищ</w:t>
            </w:r>
            <w:r w:rsidR="00AC2098">
              <w:rPr>
                <w:color w:val="000000"/>
                <w:lang w:val="uk-UA"/>
              </w:rPr>
              <w:t>ено</w:t>
            </w:r>
            <w:r w:rsidR="00C73B36" w:rsidRPr="00C73B36">
              <w:rPr>
                <w:color w:val="000000"/>
                <w:lang w:val="uk-UA"/>
              </w:rPr>
              <w:t xml:space="preserve"> рівень </w:t>
            </w:r>
            <w:r w:rsidR="00A15DB8" w:rsidRPr="00C73B36">
              <w:rPr>
                <w:color w:val="000000"/>
                <w:lang w:val="uk-UA"/>
              </w:rPr>
              <w:t xml:space="preserve">соціальної компетенції </w:t>
            </w:r>
            <w:r w:rsidR="00C73B36" w:rsidRPr="00C73B36">
              <w:rPr>
                <w:color w:val="000000"/>
                <w:lang w:val="uk-UA"/>
              </w:rPr>
              <w:t xml:space="preserve">та </w:t>
            </w:r>
            <w:r w:rsidR="00A15DB8" w:rsidRPr="00C73B36">
              <w:rPr>
                <w:color w:val="000000"/>
                <w:lang w:val="uk-UA"/>
              </w:rPr>
              <w:t>попередження вживання психоактивних речовин та їх наслідків</w:t>
            </w:r>
            <w:r w:rsidR="00C73B36" w:rsidRPr="00C73B36">
              <w:rPr>
                <w:color w:val="000000"/>
                <w:lang w:val="uk-UA"/>
              </w:rPr>
              <w:t xml:space="preserve"> в своїх сім’ях</w:t>
            </w:r>
            <w:r w:rsidR="00A15DB8" w:rsidRPr="00C73B36">
              <w:rPr>
                <w:color w:val="000000"/>
                <w:lang w:val="uk-UA"/>
              </w:rPr>
              <w:t xml:space="preserve">.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1.3.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>Впровадження онлайн курсу соціальної компетенції вчителів  учнів 1-11 класів з попередження вживання психоактивних речовин в учнівському середовищі.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Управління освіти</w:t>
            </w:r>
            <w:r w:rsidR="00966B1E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254445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33,0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11,0</w:t>
            </w:r>
          </w:p>
        </w:tc>
        <w:tc>
          <w:tcPr>
            <w:tcW w:w="3780" w:type="dxa"/>
          </w:tcPr>
          <w:p w:rsidR="00A15DB8" w:rsidRPr="00CB1839" w:rsidRDefault="00C73B36" w:rsidP="002247BA">
            <w:pPr>
              <w:rPr>
                <w:color w:val="000000"/>
                <w:highlight w:val="yellow"/>
                <w:lang w:val="uk-UA"/>
              </w:rPr>
            </w:pPr>
            <w:r w:rsidRPr="00C73B36">
              <w:rPr>
                <w:color w:val="000000"/>
                <w:lang w:val="uk-UA"/>
              </w:rPr>
              <w:t xml:space="preserve">1500 </w:t>
            </w:r>
            <w:r>
              <w:rPr>
                <w:color w:val="000000"/>
                <w:lang w:val="uk-UA"/>
              </w:rPr>
              <w:t>вчител</w:t>
            </w:r>
            <w:r w:rsidR="00650A9C">
              <w:rPr>
                <w:color w:val="000000"/>
                <w:lang w:val="uk-UA"/>
              </w:rPr>
              <w:t>ями</w:t>
            </w:r>
            <w:r w:rsidRPr="00C73B36">
              <w:rPr>
                <w:color w:val="000000"/>
                <w:lang w:val="uk-UA"/>
              </w:rPr>
              <w:t xml:space="preserve"> міста Чернівці, успішно прой</w:t>
            </w:r>
            <w:r w:rsidR="00AC2098">
              <w:rPr>
                <w:color w:val="000000"/>
                <w:lang w:val="uk-UA"/>
              </w:rPr>
              <w:t>ден</w:t>
            </w:r>
            <w:r w:rsidR="00650A9C">
              <w:rPr>
                <w:color w:val="000000"/>
                <w:lang w:val="uk-UA"/>
              </w:rPr>
              <w:t>е</w:t>
            </w:r>
            <w:r w:rsidRPr="00C73B36">
              <w:rPr>
                <w:color w:val="000000"/>
                <w:lang w:val="uk-UA"/>
              </w:rPr>
              <w:t xml:space="preserve"> навчання онлайн-курс </w:t>
            </w:r>
            <w:r w:rsidR="00650A9C">
              <w:rPr>
                <w:color w:val="000000"/>
                <w:lang w:val="uk-UA"/>
              </w:rPr>
              <w:t>з підвищення</w:t>
            </w:r>
            <w:r w:rsidRPr="00C73B36">
              <w:rPr>
                <w:color w:val="000000"/>
                <w:lang w:val="uk-UA"/>
              </w:rPr>
              <w:t xml:space="preserve"> рів</w:t>
            </w:r>
            <w:r w:rsidR="00650A9C">
              <w:rPr>
                <w:color w:val="000000"/>
                <w:lang w:val="uk-UA"/>
              </w:rPr>
              <w:t>ня</w:t>
            </w:r>
            <w:r w:rsidRPr="00C73B36">
              <w:rPr>
                <w:color w:val="000000"/>
                <w:lang w:val="uk-UA"/>
              </w:rPr>
              <w:t xml:space="preserve"> </w:t>
            </w:r>
            <w:r w:rsidR="002247BA">
              <w:rPr>
                <w:color w:val="000000"/>
                <w:lang w:val="uk-UA"/>
              </w:rPr>
              <w:t xml:space="preserve">знань з виявлення та реагування на фактори ризику вживання психоактивних речовин в учнівському середовищі.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1.4.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>Впровадження інтерактивних,  програм з формування соціальної компетенції, попередження насилля, булінгу (кібербулінгу), правової просвіти та відповідальності, як чинників впливу на попередження вживання психоактивних речовин в учнівському середовищі та їх наслідків. (онлайн та офлайн) «Нова сім’я» для учнів 1-4х класів,  «Програма 15» для учнів 8-9 класів та факультативу «Кроки по життю» для учнів 10-11х класів.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Управління освіти</w:t>
            </w:r>
            <w:r w:rsidR="00966B1E" w:rsidRPr="00CB1839">
              <w:rPr>
                <w:lang w:val="uk-UA"/>
              </w:rPr>
              <w:t xml:space="preserve"> Чернівецької міської ради</w:t>
            </w:r>
            <w:r w:rsidR="00DC2C47" w:rsidRPr="00CB1839">
              <w:rPr>
                <w:lang w:val="uk-UA"/>
              </w:rPr>
              <w:t>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rFonts w:ascii="Arial" w:hAnsi="Arial"/>
                <w:b/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114,0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3780" w:type="dxa"/>
          </w:tcPr>
          <w:p w:rsidR="00A15DB8" w:rsidRPr="00CB1839" w:rsidRDefault="002247BA" w:rsidP="002247BA">
            <w:pPr>
              <w:rPr>
                <w:color w:val="000000"/>
                <w:highlight w:val="yellow"/>
                <w:lang w:val="uk-UA"/>
              </w:rPr>
            </w:pPr>
            <w:r>
              <w:rPr>
                <w:lang w:val="uk-UA"/>
              </w:rPr>
              <w:t>6</w:t>
            </w:r>
            <w:r w:rsidRPr="002247BA">
              <w:rPr>
                <w:lang w:val="uk-UA"/>
              </w:rPr>
              <w:t>000 учнів 1-11 класів</w:t>
            </w:r>
            <w:r w:rsidR="00AC2098">
              <w:rPr>
                <w:lang w:val="uk-UA"/>
              </w:rPr>
              <w:t xml:space="preserve"> освоєно</w:t>
            </w:r>
            <w:r>
              <w:rPr>
                <w:lang w:val="uk-UA"/>
              </w:rPr>
              <w:t xml:space="preserve"> програм</w:t>
            </w:r>
            <w:r w:rsidR="00AC2098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прав</w:t>
            </w:r>
            <w:r w:rsidR="00AC2098">
              <w:rPr>
                <w:lang w:val="uk-UA"/>
              </w:rPr>
              <w:t>ової просвіти, та відповідно підвищ</w:t>
            </w:r>
            <w:r w:rsidR="00650A9C">
              <w:rPr>
                <w:lang w:val="uk-UA"/>
              </w:rPr>
              <w:t>ено</w:t>
            </w:r>
            <w:r>
              <w:rPr>
                <w:lang w:val="uk-UA"/>
              </w:rPr>
              <w:t xml:space="preserve"> рівень знань з прав </w:t>
            </w:r>
            <w:r w:rsidRPr="002247BA">
              <w:rPr>
                <w:lang w:val="uk-UA"/>
              </w:rPr>
              <w:t>та відповідальності</w:t>
            </w:r>
            <w:r>
              <w:rPr>
                <w:lang w:val="uk-UA"/>
              </w:rPr>
              <w:t xml:space="preserve">, вирішення конфліктів без насилля, боулінгу та вживання психоактивних речовин.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1.5.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2247BA">
              <w:rPr>
                <w:lang w:val="uk-UA"/>
              </w:rPr>
              <w:t>Удосконалення системи роботи з обдарованою молоддю</w:t>
            </w:r>
            <w:r w:rsidRPr="00CF4B01">
              <w:rPr>
                <w:lang w:val="uk-UA"/>
              </w:rPr>
              <w:t xml:space="preserve">, щорічно, проведення серед навчальних закладів міста, за участі ініціативних учнів 5-9 класів начальних закладів, конкурсу соціально - освітніх проектів «Спільними зусиллями задля безпеки та розвитку» для посилення й розвитку потенціалу навчальних закладів у формуванні сприятливого середовища й попередження ризикованих для здоров’я та життя молоді явищ. 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spacing w:line="240" w:lineRule="auto"/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Управління освіти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</w:t>
            </w:r>
          </w:p>
          <w:p w:rsidR="00A15DB8" w:rsidRPr="00CB1839" w:rsidRDefault="00A15DB8" w:rsidP="00CF4B01">
            <w:pPr>
              <w:jc w:val="both"/>
              <w:rPr>
                <w:rFonts w:ascii="Arial" w:hAnsi="Arial"/>
                <w:b/>
                <w:lang w:val="uk-UA"/>
              </w:rPr>
            </w:pPr>
            <w:r w:rsidRPr="00CB1839">
              <w:t>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114,0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38,0</w:t>
            </w:r>
          </w:p>
        </w:tc>
        <w:tc>
          <w:tcPr>
            <w:tcW w:w="3780" w:type="dxa"/>
          </w:tcPr>
          <w:p w:rsidR="00A15DB8" w:rsidRPr="00CB1839" w:rsidRDefault="00D15981" w:rsidP="00E71E36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Pr="00D15981">
              <w:rPr>
                <w:lang w:val="uk-UA"/>
              </w:rPr>
              <w:t>результатами конкурсу "Спільними зусиллями задля безпеки та розвитку"</w:t>
            </w:r>
            <w:r w:rsidR="00E71E36">
              <w:rPr>
                <w:lang w:val="uk-UA"/>
              </w:rPr>
              <w:t>, щорічно, 9 навчальн</w:t>
            </w:r>
            <w:r w:rsidR="00650A9C">
              <w:rPr>
                <w:lang w:val="uk-UA"/>
              </w:rPr>
              <w:t xml:space="preserve">ими </w:t>
            </w:r>
            <w:r w:rsidRPr="00D15981">
              <w:rPr>
                <w:lang w:val="uk-UA"/>
              </w:rPr>
              <w:t>заклад</w:t>
            </w:r>
            <w:r w:rsidR="00650A9C">
              <w:rPr>
                <w:lang w:val="uk-UA"/>
              </w:rPr>
              <w:t>ами</w:t>
            </w:r>
            <w:r w:rsidRPr="00D15981">
              <w:rPr>
                <w:lang w:val="uk-UA"/>
              </w:rPr>
              <w:t xml:space="preserve"> міста Чернівці</w:t>
            </w:r>
            <w:r w:rsidR="00E71E36">
              <w:rPr>
                <w:lang w:val="uk-UA"/>
              </w:rPr>
              <w:t xml:space="preserve">, </w:t>
            </w:r>
            <w:r w:rsidR="00AC2098">
              <w:rPr>
                <w:lang w:val="uk-UA"/>
              </w:rPr>
              <w:t>реалізовано</w:t>
            </w:r>
            <w:r w:rsidRPr="00D15981">
              <w:rPr>
                <w:lang w:val="uk-UA"/>
              </w:rPr>
              <w:t xml:space="preserve"> шкільні проекти </w:t>
            </w:r>
            <w:r w:rsidR="00E71E36">
              <w:rPr>
                <w:lang w:val="uk-UA"/>
              </w:rPr>
              <w:t xml:space="preserve">та сформували навички безпечної, соціальної поведінки серед учнів 5-9 класів.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436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1.6.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 xml:space="preserve">Забезпечення рівного доступу до якісної освіти, впровадження програми корекції девіантної поведінки з поверненням до навчального середовища учнів 5-11 класів, які мають досвід вживання психоактивних речовин.  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pStyle w:val="a5"/>
              <w:spacing w:line="240" w:lineRule="auto"/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Управління освіти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90,0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30, 0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30,0</w:t>
            </w:r>
          </w:p>
        </w:tc>
        <w:tc>
          <w:tcPr>
            <w:tcW w:w="3780" w:type="dxa"/>
          </w:tcPr>
          <w:p w:rsidR="00A15DB8" w:rsidRPr="00CB1839" w:rsidRDefault="00E71E36" w:rsidP="00E71E36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60</w:t>
            </w:r>
            <w:r w:rsidRPr="00E71E36">
              <w:rPr>
                <w:lang w:val="uk-UA"/>
              </w:rPr>
              <w:t xml:space="preserve"> учнів успішно </w:t>
            </w:r>
            <w:r>
              <w:rPr>
                <w:lang w:val="uk-UA"/>
              </w:rPr>
              <w:t xml:space="preserve">завершили </w:t>
            </w:r>
            <w:r w:rsidRPr="00E71E36">
              <w:rPr>
                <w:lang w:val="uk-UA"/>
              </w:rPr>
              <w:t>програму корекції девіантної поведінки</w:t>
            </w:r>
            <w:r>
              <w:rPr>
                <w:lang w:val="uk-UA"/>
              </w:rPr>
              <w:t xml:space="preserve"> для дітей віком 10-18 років</w:t>
            </w:r>
            <w:r w:rsidRPr="00E71E36">
              <w:rPr>
                <w:lang w:val="uk-UA"/>
              </w:rPr>
              <w:t xml:space="preserve"> та повернулися до навчального середовища</w:t>
            </w:r>
            <w:r>
              <w:rPr>
                <w:lang w:val="uk-UA"/>
              </w:rPr>
              <w:t xml:space="preserve">. </w:t>
            </w:r>
          </w:p>
        </w:tc>
      </w:tr>
      <w:tr w:rsidR="00A15DB8" w:rsidRPr="00CB1839" w:rsidTr="00650A9C">
        <w:tblPrEx>
          <w:tblCellMar>
            <w:top w:w="0" w:type="dxa"/>
            <w:bottom w:w="0" w:type="dxa"/>
          </w:tblCellMar>
        </w:tblPrEx>
        <w:trPr>
          <w:trHeight w:val="3045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1.7.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 xml:space="preserve">Впровадження курсу підвищення соціальної компетенції для психологів та соціальних педагогів,  у проведенні превентивної роботи серед учнівської молоді навчальних закладів міста, виявлення та реагування на факти вживання ПАР. </w:t>
            </w:r>
          </w:p>
        </w:tc>
        <w:tc>
          <w:tcPr>
            <w:tcW w:w="1842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>Інститут післядипломної педагогічної освіти в ЧО</w:t>
            </w:r>
            <w:r w:rsidR="00DC2C47">
              <w:rPr>
                <w:lang w:val="uk-UA"/>
              </w:rPr>
              <w:t>,</w:t>
            </w:r>
            <w:r w:rsidRPr="00CF4B01">
              <w:rPr>
                <w:lang w:val="uk-UA"/>
              </w:rPr>
              <w:t xml:space="preserve"> громадські організації (за згодою)  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27,0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9,0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9,0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9,0</w:t>
            </w:r>
          </w:p>
        </w:tc>
        <w:tc>
          <w:tcPr>
            <w:tcW w:w="3780" w:type="dxa"/>
          </w:tcPr>
          <w:p w:rsidR="00A15DB8" w:rsidRPr="00CB1839" w:rsidRDefault="00E71E36" w:rsidP="00E71E36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90</w:t>
            </w:r>
            <w:r w:rsidRPr="00E71E36">
              <w:rPr>
                <w:lang w:val="uk-UA"/>
              </w:rPr>
              <w:t xml:space="preserve"> спеціалістів, психологів та соціальних педагогів міста Чернівці, </w:t>
            </w:r>
            <w:r>
              <w:rPr>
                <w:lang w:val="uk-UA"/>
              </w:rPr>
              <w:t xml:space="preserve">успішно завершили навчальний курс </w:t>
            </w:r>
            <w:r w:rsidRPr="00E71E36">
              <w:rPr>
                <w:lang w:val="uk-UA"/>
              </w:rPr>
              <w:t xml:space="preserve">та </w:t>
            </w:r>
            <w:r>
              <w:rPr>
                <w:lang w:val="uk-UA"/>
              </w:rPr>
              <w:t xml:space="preserve">на 60% </w:t>
            </w:r>
            <w:r w:rsidRPr="00E71E36">
              <w:rPr>
                <w:lang w:val="uk-UA"/>
              </w:rPr>
              <w:t xml:space="preserve">підвищили </w:t>
            </w:r>
            <w:r>
              <w:rPr>
                <w:lang w:val="uk-UA"/>
              </w:rPr>
              <w:t xml:space="preserve">власний </w:t>
            </w:r>
            <w:r w:rsidRPr="00E71E36">
              <w:rPr>
                <w:lang w:val="uk-UA"/>
              </w:rPr>
              <w:t>рівень професійної компетенції з виявлення та ре</w:t>
            </w:r>
            <w:r>
              <w:rPr>
                <w:lang w:val="uk-UA"/>
              </w:rPr>
              <w:t>а</w:t>
            </w:r>
            <w:r w:rsidRPr="00E71E36">
              <w:rPr>
                <w:lang w:val="uk-UA"/>
              </w:rPr>
              <w:t>гування на факти вживання учнями наркотиків.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1.8.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 xml:space="preserve">Реалізація проекту «Шкільний офіцер поліції» з формування відповідальної правової позиції та попередження негативних явищ, чинників зловживання ПАР. </w:t>
            </w:r>
          </w:p>
          <w:p w:rsidR="00A15DB8" w:rsidRPr="00CF4B01" w:rsidRDefault="00A15DB8" w:rsidP="00CF4B01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Управління патрульної поліції в ЧО,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 та молоді</w:t>
            </w:r>
            <w:r w:rsidR="00DC2C47" w:rsidRPr="00CB1839">
              <w:rPr>
                <w:lang w:val="uk-UA"/>
              </w:rPr>
              <w:t xml:space="preserve"> Чернівецької міської ради</w:t>
            </w:r>
            <w:r w:rsidRPr="00CB1839">
              <w:rPr>
                <w:lang w:val="uk-UA"/>
              </w:rPr>
              <w:t>,</w:t>
            </w:r>
          </w:p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Громадські</w:t>
            </w:r>
            <w:r w:rsidRPr="00CF4B01">
              <w:rPr>
                <w:lang w:val="uk-UA"/>
              </w:rPr>
              <w:t xml:space="preserve">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60,0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20,0</w:t>
            </w:r>
          </w:p>
        </w:tc>
        <w:tc>
          <w:tcPr>
            <w:tcW w:w="3780" w:type="dxa"/>
          </w:tcPr>
          <w:p w:rsidR="00A15DB8" w:rsidRPr="00CB1839" w:rsidRDefault="00E71E36" w:rsidP="00CF4B01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9000</w:t>
            </w:r>
            <w:r w:rsidRPr="00E71E36">
              <w:rPr>
                <w:color w:val="000000"/>
                <w:lang w:val="uk-UA"/>
              </w:rPr>
              <w:t xml:space="preserve"> учнів 6-11 класів міста Чернівці, успішно завершили програму «Шкільний офіцер» та</w:t>
            </w:r>
            <w:r>
              <w:rPr>
                <w:color w:val="000000"/>
                <w:lang w:val="uk-UA"/>
              </w:rPr>
              <w:t xml:space="preserve"> на 40%</w:t>
            </w:r>
            <w:r w:rsidRPr="00E71E36">
              <w:rPr>
                <w:color w:val="000000"/>
                <w:lang w:val="uk-UA"/>
              </w:rPr>
              <w:t xml:space="preserve"> підвищили свій рівень правової обізнаності</w:t>
            </w:r>
            <w:r>
              <w:rPr>
                <w:color w:val="000000"/>
                <w:lang w:val="uk-UA"/>
              </w:rPr>
              <w:t xml:space="preserve"> та компетенції</w:t>
            </w:r>
            <w:r w:rsidRPr="00E71E36">
              <w:rPr>
                <w:color w:val="000000"/>
                <w:lang w:val="uk-UA"/>
              </w:rPr>
              <w:t>.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4580" w:type="dxa"/>
            <w:gridSpan w:val="9"/>
          </w:tcPr>
          <w:p w:rsidR="00A15DB8" w:rsidRPr="00CB1839" w:rsidRDefault="00A15DB8" w:rsidP="00CF4B01">
            <w:pPr>
              <w:jc w:val="both"/>
              <w:rPr>
                <w:rFonts w:ascii="Arial" w:hAnsi="Arial"/>
                <w:b/>
                <w:color w:val="000000"/>
                <w:sz w:val="28"/>
                <w:szCs w:val="28"/>
                <w:lang w:val="uk-UA"/>
              </w:rPr>
            </w:pPr>
            <w:r w:rsidRPr="00CB1839">
              <w:rPr>
                <w:b/>
                <w:sz w:val="28"/>
                <w:szCs w:val="28"/>
                <w:lang w:val="uk-UA"/>
              </w:rPr>
              <w:t>2</w:t>
            </w:r>
            <w:r w:rsidR="00CF4B01" w:rsidRPr="00CB1839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CB1839">
              <w:rPr>
                <w:b/>
                <w:sz w:val="28"/>
                <w:szCs w:val="28"/>
                <w:lang w:val="uk-UA"/>
              </w:rPr>
              <w:t xml:space="preserve"> Забезпечення конституційних прав і державних гарантій щодо доступності мешканців міста та їх сімей до с</w:t>
            </w:r>
            <w:r w:rsidR="00CF4B01" w:rsidRPr="00CB1839">
              <w:rPr>
                <w:b/>
                <w:sz w:val="28"/>
                <w:szCs w:val="28"/>
                <w:lang w:val="uk-UA"/>
              </w:rPr>
              <w:t>оціальної підтримки та захисту</w:t>
            </w:r>
            <w:r w:rsidRPr="00CB1839"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2.1.</w:t>
            </w:r>
          </w:p>
        </w:tc>
        <w:tc>
          <w:tcPr>
            <w:tcW w:w="3087" w:type="dxa"/>
          </w:tcPr>
          <w:p w:rsidR="00A15DB8" w:rsidRPr="00CF4B01" w:rsidRDefault="00A15DB8" w:rsidP="00E71E36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Збереження та розвиток трудового потенціалу міста, організація та надання психосоціальних послуг  ресоціалізації чернівчанам віком від 16 років, та їх сім’ям, які зазнали насилля, мають залежну поведінку, схильні до антисоціальної </w:t>
            </w:r>
            <w:r w:rsidRPr="00CF4B01">
              <w:rPr>
                <w:color w:val="000000"/>
                <w:lang w:val="uk-UA"/>
              </w:rPr>
              <w:lastRenderedPageBreak/>
              <w:t xml:space="preserve">поведінки та потребують соціального супроводу для успішної соціалізації і відновлення трудової активності. </w:t>
            </w:r>
          </w:p>
        </w:tc>
        <w:tc>
          <w:tcPr>
            <w:tcW w:w="1842" w:type="dxa"/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lastRenderedPageBreak/>
              <w:t>Департамент праці та соціального захисту населення Чернівецької міської ради</w:t>
            </w:r>
            <w:r w:rsidR="00DC2C47">
              <w:rPr>
                <w:color w:val="000000"/>
                <w:lang w:val="uk-UA"/>
              </w:rPr>
              <w:t>,</w:t>
            </w:r>
            <w:r w:rsidRPr="00CF4B01">
              <w:rPr>
                <w:color w:val="000000"/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rFonts w:ascii="Arial" w:hAnsi="Arial"/>
                <w:b/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330,0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110,0</w:t>
            </w:r>
          </w:p>
        </w:tc>
        <w:tc>
          <w:tcPr>
            <w:tcW w:w="900" w:type="dxa"/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110,0</w:t>
            </w:r>
          </w:p>
        </w:tc>
        <w:tc>
          <w:tcPr>
            <w:tcW w:w="3780" w:type="dxa"/>
          </w:tcPr>
          <w:p w:rsidR="00A15DB8" w:rsidRPr="00CB1839" w:rsidRDefault="00E71E36" w:rsidP="004E0117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90</w:t>
            </w:r>
            <w:r w:rsidRPr="00E71E36">
              <w:rPr>
                <w:color w:val="000000"/>
                <w:lang w:val="uk-UA"/>
              </w:rPr>
              <w:t xml:space="preserve"> осіб, віком від 16 років та їх сім'ї,</w:t>
            </w:r>
            <w:r>
              <w:rPr>
                <w:color w:val="000000"/>
                <w:lang w:val="uk-UA"/>
              </w:rPr>
              <w:t xml:space="preserve"> жертви насилля, в т.ч., які мають досвід вживання психоактивних речовин, </w:t>
            </w:r>
            <w:r w:rsidR="004E0117">
              <w:rPr>
                <w:color w:val="000000"/>
                <w:lang w:val="uk-UA"/>
              </w:rPr>
              <w:t xml:space="preserve">підвищили якість свого життя, працевлаштовані та соціально активні.  </w:t>
            </w:r>
            <w:r w:rsidRPr="00E71E36">
              <w:rPr>
                <w:color w:val="000000"/>
                <w:lang w:val="uk-UA"/>
              </w:rPr>
              <w:t xml:space="preserve">  </w:t>
            </w:r>
            <w:r w:rsidR="00A15DB8" w:rsidRPr="00CB1839">
              <w:rPr>
                <w:color w:val="000000"/>
                <w:highlight w:val="yellow"/>
                <w:lang w:val="uk-UA"/>
              </w:rPr>
              <w:t xml:space="preserve">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2.2.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Організація в міському наметовому таборі "Ойкос" змін, тематичних до профілактики ризикованої поведінки, зокрема для батьків та дітей сімей СЖО.</w:t>
            </w:r>
          </w:p>
        </w:tc>
        <w:tc>
          <w:tcPr>
            <w:tcW w:w="1842" w:type="dxa"/>
            <w:tcBorders>
              <w:top w:val="nil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Відділ у справах сім’ї та молоді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  <w:tcBorders>
              <w:top w:val="nil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F4B01">
              <w:rPr>
                <w:b/>
                <w:lang w:val="uk-UA"/>
              </w:rPr>
              <w:t>90,0</w:t>
            </w:r>
          </w:p>
        </w:tc>
        <w:tc>
          <w:tcPr>
            <w:tcW w:w="900" w:type="dxa"/>
            <w:tcBorders>
              <w:top w:val="nil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30,0</w:t>
            </w:r>
          </w:p>
        </w:tc>
        <w:tc>
          <w:tcPr>
            <w:tcW w:w="900" w:type="dxa"/>
            <w:tcBorders>
              <w:top w:val="nil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30,0</w:t>
            </w:r>
          </w:p>
        </w:tc>
        <w:tc>
          <w:tcPr>
            <w:tcW w:w="900" w:type="dxa"/>
            <w:tcBorders>
              <w:top w:val="nil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30,0</w:t>
            </w:r>
          </w:p>
        </w:tc>
        <w:tc>
          <w:tcPr>
            <w:tcW w:w="3780" w:type="dxa"/>
            <w:tcBorders>
              <w:top w:val="nil"/>
            </w:tcBorders>
          </w:tcPr>
          <w:p w:rsidR="00A15DB8" w:rsidRPr="00CB1839" w:rsidRDefault="004E0117" w:rsidP="004E0117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60</w:t>
            </w:r>
            <w:r w:rsidRPr="004E0117">
              <w:rPr>
                <w:lang w:val="uk-UA"/>
              </w:rPr>
              <w:t xml:space="preserve"> батьків та дітей сімей, які тимчасово перебувають у складних життєвих обставинах, успішно </w:t>
            </w:r>
            <w:r w:rsidR="0072271B">
              <w:rPr>
                <w:lang w:val="uk-UA"/>
              </w:rPr>
              <w:t>освоєно</w:t>
            </w:r>
            <w:r>
              <w:rPr>
                <w:lang w:val="uk-UA"/>
              </w:rPr>
              <w:t xml:space="preserve"> програму табору "Ойкос", </w:t>
            </w:r>
            <w:r w:rsidR="0072271B">
              <w:rPr>
                <w:lang w:val="uk-UA"/>
              </w:rPr>
              <w:t>щодо</w:t>
            </w:r>
            <w:r>
              <w:rPr>
                <w:lang w:val="uk-UA"/>
              </w:rPr>
              <w:t xml:space="preserve"> наслідк</w:t>
            </w:r>
            <w:r w:rsidR="0072271B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вживання психоактивних речовин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2.3.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Впровадження програми профілактики зловживання ПАР та правопорушень «Здоров’я через освіту»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Сектор ювенальної превенції ГУНП в Чернівецькій області,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 та молоді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згодою).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F4B01">
              <w:rPr>
                <w:b/>
                <w:lang w:val="uk-U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F4B01">
              <w:rPr>
                <w:lang w:val="uk-UA"/>
              </w:rPr>
              <w:t>10,0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CF4B01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9</w:t>
            </w:r>
            <w:r w:rsidRPr="004E0117">
              <w:rPr>
                <w:lang w:val="uk-UA"/>
              </w:rPr>
              <w:t>000 учнів професійно - технічних  навчальних закладів міста Чернівці</w:t>
            </w:r>
            <w:r>
              <w:rPr>
                <w:lang w:val="uk-UA"/>
              </w:rPr>
              <w:t>,</w:t>
            </w:r>
            <w:r w:rsidRPr="004E0117">
              <w:rPr>
                <w:lang w:val="uk-UA"/>
              </w:rPr>
              <w:t xml:space="preserve"> успішно заверш</w:t>
            </w:r>
            <w:r w:rsidR="0072271B">
              <w:rPr>
                <w:lang w:val="uk-UA"/>
              </w:rPr>
              <w:t>ено</w:t>
            </w:r>
            <w:r w:rsidRPr="004E0117">
              <w:rPr>
                <w:lang w:val="uk-UA"/>
              </w:rPr>
              <w:t xml:space="preserve"> програму «Здоров’я через освіту», </w:t>
            </w:r>
            <w:r w:rsidR="0072271B">
              <w:rPr>
                <w:lang w:val="uk-UA"/>
              </w:rPr>
              <w:t>в результаті чого</w:t>
            </w:r>
            <w:r>
              <w:rPr>
                <w:lang w:val="uk-UA"/>
              </w:rPr>
              <w:t xml:space="preserve"> </w:t>
            </w:r>
            <w:r w:rsidRPr="004E0117">
              <w:rPr>
                <w:lang w:val="uk-UA"/>
              </w:rPr>
              <w:t xml:space="preserve">підвищили </w:t>
            </w:r>
            <w:r>
              <w:rPr>
                <w:lang w:val="uk-UA"/>
              </w:rPr>
              <w:t xml:space="preserve">свій </w:t>
            </w:r>
            <w:r w:rsidRPr="004E0117">
              <w:rPr>
                <w:lang w:val="uk-UA"/>
              </w:rPr>
              <w:t>рівень знань та навичок правової відповідальності з протидії вживання ПАР</w:t>
            </w:r>
            <w:r w:rsidR="00A15DB8" w:rsidRPr="00CB1839">
              <w:rPr>
                <w:highlight w:val="yellow"/>
                <w:lang w:val="uk-UA"/>
              </w:rPr>
              <w:t xml:space="preserve">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585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2.4.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Оснащення професійно-технічних навчальних закладів міста Чернівці тематичними стендами  з інформацією про права та відповідальність учня, алгоритми протидії вживанню та поширенню ПАР в учнівському середовищі.  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Сектор ювенальної превенції ГУНП в Чернівецькій області,</w:t>
            </w:r>
          </w:p>
          <w:p w:rsidR="00A15DB8" w:rsidRPr="00CB1839" w:rsidRDefault="00DC2C47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в</w:t>
            </w:r>
            <w:r w:rsidR="00A15DB8" w:rsidRPr="00CB1839">
              <w:rPr>
                <w:lang w:val="uk-UA"/>
              </w:rPr>
              <w:t>ідділ у справах сім’ї та молоді</w:t>
            </w:r>
            <w:r w:rsidRPr="00CB1839">
              <w:rPr>
                <w:lang w:val="uk-UA"/>
              </w:rPr>
              <w:t xml:space="preserve"> Чернівецької міської ради,</w:t>
            </w:r>
            <w:r w:rsidR="00A15DB8" w:rsidRPr="00CB1839">
              <w:rPr>
                <w:lang w:val="uk-UA"/>
              </w:rPr>
              <w:t xml:space="preserve"> громадські організації (за згодою).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4E0117">
            <w:pPr>
              <w:jc w:val="both"/>
              <w:rPr>
                <w:color w:val="000000"/>
                <w:highlight w:val="yellow"/>
                <w:lang w:val="uk-UA"/>
              </w:rPr>
            </w:pPr>
            <w:r w:rsidRPr="004E0117">
              <w:rPr>
                <w:color w:val="000000"/>
                <w:lang w:val="uk-UA"/>
              </w:rPr>
              <w:t>10-ть профтехнавчальн</w:t>
            </w:r>
            <w:r>
              <w:rPr>
                <w:color w:val="000000"/>
                <w:lang w:val="uk-UA"/>
              </w:rPr>
              <w:t>их</w:t>
            </w:r>
            <w:r w:rsidRPr="004E0117">
              <w:rPr>
                <w:color w:val="000000"/>
                <w:lang w:val="uk-UA"/>
              </w:rPr>
              <w:t xml:space="preserve"> заклад</w:t>
            </w:r>
            <w:r>
              <w:rPr>
                <w:color w:val="000000"/>
                <w:lang w:val="uk-UA"/>
              </w:rPr>
              <w:t>ів</w:t>
            </w:r>
            <w:r w:rsidRPr="004E0117">
              <w:rPr>
                <w:color w:val="000000"/>
                <w:lang w:val="uk-UA"/>
              </w:rPr>
              <w:t xml:space="preserve"> міста оснащенн</w:t>
            </w:r>
            <w:r w:rsidR="0072271B">
              <w:rPr>
                <w:color w:val="000000"/>
                <w:lang w:val="uk-UA"/>
              </w:rPr>
              <w:t>о</w:t>
            </w:r>
            <w:r w:rsidRPr="004E0117">
              <w:rPr>
                <w:color w:val="000000"/>
                <w:lang w:val="uk-UA"/>
              </w:rPr>
              <w:t xml:space="preserve"> тематичними стендами «Керуй своїм життям відповідально»</w:t>
            </w:r>
            <w:r>
              <w:rPr>
                <w:color w:val="000000"/>
                <w:lang w:val="uk-UA"/>
              </w:rPr>
              <w:t>,</w:t>
            </w:r>
            <w:r w:rsidRPr="004E0117">
              <w:rPr>
                <w:color w:val="000000"/>
                <w:lang w:val="uk-UA"/>
              </w:rPr>
              <w:t xml:space="preserve"> учні</w:t>
            </w:r>
            <w:r w:rsidR="0072271B">
              <w:rPr>
                <w:color w:val="000000"/>
                <w:lang w:val="uk-UA"/>
              </w:rPr>
              <w:t>в</w:t>
            </w:r>
            <w:r w:rsidRPr="004E0117">
              <w:rPr>
                <w:color w:val="000000"/>
                <w:lang w:val="uk-UA"/>
              </w:rPr>
              <w:t xml:space="preserve"> закладів інформова</w:t>
            </w:r>
            <w:r>
              <w:rPr>
                <w:color w:val="000000"/>
                <w:lang w:val="uk-UA"/>
              </w:rPr>
              <w:t>н</w:t>
            </w:r>
            <w:r w:rsidR="0072271B"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 xml:space="preserve">  щодо наслідків вживання ПАР </w:t>
            </w:r>
            <w:r w:rsidR="0072271B">
              <w:rPr>
                <w:color w:val="000000"/>
                <w:lang w:val="uk-UA"/>
              </w:rPr>
              <w:t xml:space="preserve">та </w:t>
            </w:r>
            <w:r>
              <w:rPr>
                <w:color w:val="000000"/>
                <w:lang w:val="uk-UA"/>
              </w:rPr>
              <w:t xml:space="preserve">володіють інформацією про алгоритм отримання допомоги від працівників поліції. </w:t>
            </w:r>
            <w:r w:rsidRPr="004E0117">
              <w:rPr>
                <w:color w:val="000000"/>
                <w:lang w:val="uk-UA"/>
              </w:rPr>
              <w:t xml:space="preserve">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2.5.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Проведення інтерактивних занять з молоддю (турніри по футболу та волейболу), під обліковцями.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Сектор ювенальної превенції ГУНП в Чернівецькій області,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 xml:space="preserve">ідділ у справах сім’ї та молоді </w:t>
            </w:r>
            <w:r w:rsidR="00DC2C47" w:rsidRPr="00CB1839">
              <w:rPr>
                <w:lang w:val="uk-UA"/>
              </w:rPr>
              <w:t>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згодою).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CF4B01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120</w:t>
            </w:r>
            <w:r w:rsidRPr="004E011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мешканців міста Чернівці, </w:t>
            </w:r>
            <w:r w:rsidRPr="004E0117">
              <w:rPr>
                <w:color w:val="000000"/>
                <w:lang w:val="uk-UA"/>
              </w:rPr>
              <w:t>підобліковців</w:t>
            </w:r>
            <w:r>
              <w:rPr>
                <w:color w:val="000000"/>
                <w:lang w:val="uk-UA"/>
              </w:rPr>
              <w:t>,</w:t>
            </w:r>
            <w:r w:rsidRPr="004E0117">
              <w:rPr>
                <w:color w:val="000000"/>
                <w:lang w:val="uk-UA"/>
              </w:rPr>
              <w:t xml:space="preserve">  Сектору ювенальної превенції ГУНП в Чернівецькій області, прийняли участь у профілактично-корекціних заходах</w:t>
            </w:r>
            <w:r>
              <w:rPr>
                <w:color w:val="000000"/>
                <w:lang w:val="uk-UA"/>
              </w:rPr>
              <w:t xml:space="preserve"> з попередження рецидивів (повторних злочинів) та закріпили навички безпечної поведінки. </w:t>
            </w:r>
          </w:p>
        </w:tc>
      </w:tr>
      <w:tr w:rsidR="00A15DB8" w:rsidRPr="00CB1839" w:rsidTr="00650A9C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2.6.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Проведення промоакції «Я і моє дозвілля», із залученням дітей з кризових категорій до занять у спортивних секцій на безоплатній основі.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Сектор ювенальної превенції ГУНП в Чернівецькій області,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</w:t>
            </w:r>
            <w:r w:rsidR="00DC2C47" w:rsidRPr="00CB1839">
              <w:rPr>
                <w:lang w:val="uk-UA"/>
              </w:rPr>
              <w:t xml:space="preserve"> </w:t>
            </w:r>
            <w:r w:rsidRPr="00CB1839">
              <w:rPr>
                <w:lang w:val="uk-UA"/>
              </w:rPr>
              <w:t>та молоді</w:t>
            </w:r>
            <w:r w:rsidR="00DC2C47" w:rsidRPr="00CB1839">
              <w:rPr>
                <w:lang w:val="uk-UA"/>
              </w:rPr>
              <w:t xml:space="preserve"> </w:t>
            </w:r>
            <w:r w:rsidR="00DC2C47" w:rsidRPr="00CB1839">
              <w:rPr>
                <w:lang w:val="uk-UA"/>
              </w:rPr>
              <w:lastRenderedPageBreak/>
              <w:t>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згодою).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lastRenderedPageBreak/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CF4B01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90</w:t>
            </w:r>
            <w:r w:rsidRPr="004E0117">
              <w:rPr>
                <w:color w:val="000000"/>
                <w:lang w:val="uk-UA"/>
              </w:rPr>
              <w:t xml:space="preserve"> дітей з кризових категорій</w:t>
            </w:r>
            <w:r>
              <w:rPr>
                <w:color w:val="000000"/>
                <w:lang w:val="uk-UA"/>
              </w:rPr>
              <w:t xml:space="preserve"> міста Чернівці,</w:t>
            </w:r>
            <w:r w:rsidRPr="004E0117">
              <w:rPr>
                <w:color w:val="000000"/>
                <w:lang w:val="uk-UA"/>
              </w:rPr>
              <w:t xml:space="preserve"> стали учасникам</w:t>
            </w:r>
            <w:r>
              <w:rPr>
                <w:color w:val="000000"/>
                <w:lang w:val="uk-UA"/>
              </w:rPr>
              <w:t>и промоакції "Я і моє дозвілля" та мотивовані на утримання від ризикованої поведінки.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2.7.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Виготовлення та поширення серед молоді міста друкованої продукції з тематики попередження ризикованої поведінки та її правових наслідків.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Сектор ювенальної превенції ГУНП в Чернівецькій області,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 та молоді</w:t>
            </w:r>
            <w:r w:rsidR="00DC2C47" w:rsidRPr="00CB1839">
              <w:rPr>
                <w:lang w:val="uk-UA"/>
              </w:rPr>
              <w:t xml:space="preserve"> Чернівецької міської ради, </w:t>
            </w:r>
            <w:r w:rsidRPr="00CB1839">
              <w:rPr>
                <w:lang w:val="uk-UA"/>
              </w:rPr>
              <w:t>громадські організації (за згодою).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5,0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4E0117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  <w:r w:rsidRPr="004E0117">
              <w:rPr>
                <w:color w:val="000000"/>
                <w:lang w:val="uk-UA"/>
              </w:rPr>
              <w:t>00 молодих</w:t>
            </w:r>
            <w:r>
              <w:rPr>
                <w:color w:val="000000"/>
                <w:lang w:val="uk-UA"/>
              </w:rPr>
              <w:t xml:space="preserve"> людей та їх батьків (кризових сімей), </w:t>
            </w:r>
            <w:r w:rsidRPr="004E0117">
              <w:rPr>
                <w:color w:val="000000"/>
                <w:lang w:val="uk-UA"/>
              </w:rPr>
              <w:t>підвищ</w:t>
            </w:r>
            <w:r w:rsidR="0072271B">
              <w:rPr>
                <w:color w:val="000000"/>
                <w:lang w:val="uk-UA"/>
              </w:rPr>
              <w:t xml:space="preserve">ели </w:t>
            </w:r>
            <w:r w:rsidRPr="004E0117">
              <w:rPr>
                <w:color w:val="000000"/>
                <w:lang w:val="uk-UA"/>
              </w:rPr>
              <w:t xml:space="preserve"> рівень зна</w:t>
            </w:r>
            <w:r>
              <w:rPr>
                <w:color w:val="000000"/>
                <w:lang w:val="uk-UA"/>
              </w:rPr>
              <w:t xml:space="preserve">нь з правових питань та власної відповідальності. </w:t>
            </w:r>
            <w:r w:rsidRPr="004E0117">
              <w:rPr>
                <w:color w:val="000000"/>
                <w:lang w:val="uk-UA"/>
              </w:rPr>
              <w:t xml:space="preserve">    </w:t>
            </w:r>
            <w:r w:rsidR="00A15DB8" w:rsidRPr="00CB1839">
              <w:rPr>
                <w:color w:val="000000"/>
                <w:highlight w:val="yellow"/>
                <w:lang w:val="uk-UA"/>
              </w:rPr>
              <w:t xml:space="preserve">   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741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2.8.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Впровадження механізму закупівлі соціальних послуг через «соціальне замовлення» та конкурсу соціальних проектів з тематики попередження вживання ПАР та їх наслідків,  в підтримку розвитку соціальних послуг та захисту міста Чернівці на користь її громади.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FF0000"/>
                <w:lang w:val="uk-UA"/>
              </w:rPr>
            </w:pPr>
            <w:r w:rsidRPr="00CF4B01">
              <w:rPr>
                <w:color w:val="000000"/>
                <w:lang w:val="uk-UA"/>
              </w:rPr>
              <w:t>Департамент праці та соціального захисту населення Чернівецької міської ради</w:t>
            </w:r>
            <w:r w:rsidR="00DC2C47">
              <w:rPr>
                <w:color w:val="000000"/>
                <w:lang w:val="uk-UA"/>
              </w:rPr>
              <w:t>,</w:t>
            </w:r>
            <w:r w:rsidRPr="00CF4B01">
              <w:rPr>
                <w:color w:val="000000"/>
                <w:lang w:val="uk-UA"/>
              </w:rPr>
              <w:t xml:space="preserve"> громадські організації (за конкурсом)</w:t>
            </w:r>
            <w:r w:rsidRPr="00CF4B01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120,0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40,0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40,0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40,0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E0117" w:rsidP="004E0117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 xml:space="preserve">Впроваджено систему підтримки та реалізації громадських ініціатив у сфері протидії вживання психоактивних речовин серед населення міста.  </w:t>
            </w:r>
            <w:r w:rsidRPr="004E011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4E011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37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2.9.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Доступ населення міста до інформації про діяльність, послуги та профілактичні програми  місцевих молодіжних державних та громадських організацій міста Чернівці  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Відділ у справах сім’ї</w:t>
            </w:r>
            <w:r w:rsidR="00DC2C47" w:rsidRPr="00CB1839">
              <w:rPr>
                <w:lang w:val="uk-UA"/>
              </w:rPr>
              <w:t xml:space="preserve"> </w:t>
            </w:r>
            <w:r w:rsidRPr="00CB1839">
              <w:rPr>
                <w:lang w:val="uk-UA"/>
              </w:rPr>
              <w:t xml:space="preserve"> та молоді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650A9C" w:rsidP="008A0268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Ч</w:t>
            </w:r>
            <w:r w:rsidR="004E0117" w:rsidRPr="004E0117">
              <w:rPr>
                <w:color w:val="000000"/>
                <w:lang w:val="uk-UA"/>
              </w:rPr>
              <w:t>ернівчан</w:t>
            </w:r>
            <w:r>
              <w:rPr>
                <w:color w:val="000000"/>
                <w:lang w:val="uk-UA"/>
              </w:rPr>
              <w:t>и</w:t>
            </w:r>
            <w:r w:rsidR="004E0117" w:rsidRPr="004E0117">
              <w:rPr>
                <w:color w:val="000000"/>
                <w:lang w:val="uk-UA"/>
              </w:rPr>
              <w:t xml:space="preserve"> володіють інформацією про діяльність та послуги місцевих молодіжних та соціальних установ</w:t>
            </w:r>
            <w:r w:rsidR="008A0268">
              <w:rPr>
                <w:color w:val="000000"/>
                <w:lang w:val="uk-UA"/>
              </w:rPr>
              <w:t>, інформацією про наслідки вживання та поширення психоактивних речовин (в тому числі поширення реклами на стінах будівель міста) та звертаються по допомогу в соціальні служби та поліцію.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2.10.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Впровадження, до всесвітнього дня боротьби зі зловживанням наркотичними засобами та їх аналогами, відкритого, тематичного конкурсу для молоді міста  «Захисти себе = захисти місто», створення умов для   розвитку альтернативних до ризикованої наркотичної поведінки молодіжних інтервенцій в онлайн просторі (в </w:t>
            </w:r>
            <w:r w:rsidRPr="00CF4B01">
              <w:rPr>
                <w:color w:val="000000"/>
                <w:lang w:val="en-US"/>
              </w:rPr>
              <w:t>YouTube</w:t>
            </w:r>
            <w:r w:rsidRPr="00CF4B01">
              <w:rPr>
                <w:color w:val="000000"/>
                <w:lang w:val="uk-UA"/>
              </w:rPr>
              <w:t xml:space="preserve">, соціальних мережах, електронних журналів, тощо) та офлайн (профілактичних квестів, розвитку вуличних та професійних видів спорту, культурних арт-проектів, тощо) з увагою на дітей та молодь віком від 10 до 25 років.      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Відділ у справах сім’ї та молоді</w:t>
            </w:r>
            <w:r w:rsidR="00DC2C47" w:rsidRPr="00CB1839">
              <w:rPr>
                <w:lang w:val="uk-UA"/>
              </w:rPr>
              <w:t xml:space="preserve"> Чернівецької міської ради,</w:t>
            </w:r>
            <w:r w:rsidRPr="00CB1839">
              <w:rPr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 xml:space="preserve">75,0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25,0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25,0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8A0268" w:rsidP="008A0268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  <w:r w:rsidRPr="008A0268">
              <w:rPr>
                <w:color w:val="000000"/>
                <w:lang w:val="uk-UA"/>
              </w:rPr>
              <w:t xml:space="preserve">00 чернівчан віком 10-25 років, охоплені </w:t>
            </w:r>
            <w:r>
              <w:rPr>
                <w:color w:val="000000"/>
                <w:lang w:val="uk-UA"/>
              </w:rPr>
              <w:t>профілактичною інформацією та заходами в соціальних мережах, соціально активні та допомогли у виявленні та реагуванні соціальними службами та поліцією на факти поширення в соціальних мережах агітаційної, наркоінформації</w:t>
            </w:r>
            <w:r w:rsidR="00170C9E">
              <w:rPr>
                <w:color w:val="000000"/>
                <w:lang w:val="uk-UA"/>
              </w:rPr>
              <w:t xml:space="preserve">. </w:t>
            </w:r>
            <w:r>
              <w:rPr>
                <w:color w:val="000000"/>
                <w:lang w:val="uk-UA"/>
              </w:rPr>
              <w:t xml:space="preserve"> 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105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2.11.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Соціальна профілактика ризикованої поведінки в умовах ДУ «Чернівецький слідчий ізолятор» з увагою на чернівчан які живуть із ВІЛ/СНІД, мають досвід вживання ПАР та інші супутні захворювання.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Департамент праці та соціального захисту населення Чернівецької міської ради</w:t>
            </w:r>
            <w:r w:rsidR="00DC2C47">
              <w:rPr>
                <w:color w:val="000000"/>
                <w:lang w:val="uk-UA"/>
              </w:rPr>
              <w:t>,</w:t>
            </w:r>
            <w:r w:rsidRPr="00CF4B01">
              <w:rPr>
                <w:color w:val="000000"/>
                <w:lang w:val="uk-UA"/>
              </w:rPr>
              <w:t xml:space="preserve"> громадські організації (за згодою)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55,5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18,5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18,5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18,5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170C9E" w:rsidP="0044507A">
            <w:pPr>
              <w:jc w:val="both"/>
              <w:rPr>
                <w:color w:val="000000"/>
                <w:highlight w:val="yellow"/>
                <w:lang w:val="uk-UA"/>
              </w:rPr>
            </w:pPr>
            <w:r w:rsidRPr="00170C9E">
              <w:rPr>
                <w:color w:val="000000"/>
                <w:lang w:val="uk-UA"/>
              </w:rPr>
              <w:t>«Чернівецький слідчий ізолятор» методично оснащений та реалізував програми соціальної рівності та</w:t>
            </w:r>
            <w:r w:rsidR="0044507A">
              <w:rPr>
                <w:color w:val="000000"/>
                <w:lang w:val="uk-UA"/>
              </w:rPr>
              <w:t xml:space="preserve"> профілактики, зокрема,</w:t>
            </w:r>
            <w:r w:rsidRPr="00170C9E">
              <w:rPr>
                <w:color w:val="000000"/>
                <w:lang w:val="uk-UA"/>
              </w:rPr>
              <w:t xml:space="preserve"> 50 чернівчан, отримали соціальний супровід з </w:t>
            </w:r>
            <w:r w:rsidR="0044507A">
              <w:rPr>
                <w:color w:val="000000"/>
                <w:lang w:val="uk-UA"/>
              </w:rPr>
              <w:t xml:space="preserve">питань безпеки життя та здоров’я. </w:t>
            </w:r>
            <w:r w:rsidRPr="00170C9E">
              <w:rPr>
                <w:color w:val="000000"/>
                <w:lang w:val="uk-UA"/>
              </w:rPr>
              <w:t xml:space="preserve">  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2.12.</w:t>
            </w:r>
          </w:p>
        </w:tc>
        <w:tc>
          <w:tcPr>
            <w:tcW w:w="3087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Впровадження програми Зменшення шкоди з доступом до соціальних, профілактичних послуг, уразливих до ВІЛ/СНІД категорій населення міста.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Громадські організації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600,0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200,0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5DB8" w:rsidRPr="00CF4B01" w:rsidRDefault="00A15DB8" w:rsidP="00AD6188">
            <w:pPr>
              <w:spacing w:line="480" w:lineRule="auto"/>
              <w:jc w:val="center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>200,0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A15DB8" w:rsidRPr="00CB1839" w:rsidRDefault="0044507A" w:rsidP="0044507A">
            <w:pPr>
              <w:jc w:val="both"/>
              <w:rPr>
                <w:color w:val="000000"/>
                <w:highlight w:val="yellow"/>
                <w:lang w:val="uk-UA"/>
              </w:rPr>
            </w:pPr>
            <w:r w:rsidRPr="0044507A">
              <w:rPr>
                <w:color w:val="000000"/>
                <w:lang w:val="uk-UA"/>
              </w:rPr>
              <w:t xml:space="preserve">Реалізована національна програма протидії наслідків вживання психоактивних речовин інєкціним шляхом. Вилучено та утилізовано з вулиць міста Чернівці  270 тисяч одиниць ін’єкційного, інфікованого інструментарію.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4580" w:type="dxa"/>
            <w:gridSpan w:val="9"/>
            <w:tcBorders>
              <w:top w:val="single" w:sz="4" w:space="0" w:color="auto"/>
            </w:tcBorders>
          </w:tcPr>
          <w:p w:rsidR="00A15DB8" w:rsidRPr="00CB1839" w:rsidRDefault="00A15DB8" w:rsidP="00CF4B01">
            <w:pPr>
              <w:jc w:val="both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CB1839">
              <w:rPr>
                <w:b/>
                <w:sz w:val="28"/>
                <w:szCs w:val="28"/>
                <w:lang w:val="uk-UA"/>
              </w:rPr>
              <w:t>3</w:t>
            </w:r>
            <w:r w:rsidR="00CB1839" w:rsidRPr="00CB1839">
              <w:rPr>
                <w:b/>
                <w:sz w:val="28"/>
                <w:szCs w:val="28"/>
                <w:lang w:val="uk-UA"/>
              </w:rPr>
              <w:t>.</w:t>
            </w:r>
            <w:r w:rsidRPr="00CB1839">
              <w:rPr>
                <w:b/>
                <w:sz w:val="28"/>
                <w:szCs w:val="28"/>
                <w:lang w:val="uk-UA"/>
              </w:rPr>
              <w:t xml:space="preserve"> </w:t>
            </w:r>
            <w:r w:rsidR="00CB1839" w:rsidRPr="00CB1839">
              <w:rPr>
                <w:b/>
                <w:sz w:val="28"/>
                <w:szCs w:val="28"/>
                <w:lang w:val="uk-UA"/>
              </w:rPr>
              <w:t>В</w:t>
            </w:r>
            <w:r w:rsidRPr="00CB1839">
              <w:rPr>
                <w:b/>
                <w:sz w:val="28"/>
                <w:szCs w:val="28"/>
                <w:lang w:val="uk-UA"/>
              </w:rPr>
              <w:t xml:space="preserve">провадження системи правової підтримки та просвіти серед громади, в т.ч. учасників дорожньо-транспортного руху.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3.1.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 xml:space="preserve">Впровадження курсу «Керуй відповідально» для майбутніх водіїв, учнів авто - школі міста Чернівці, про наслідки вживання ПАР на прикладі тренажера – «АЛКО» та «НАРКО» окулярів,та повідомлення про правову відповідальність у випадках керування транспортними засобами під дією ПАР.  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Управління патрульної поліції в ЧО,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  та молоді</w:t>
            </w:r>
            <w:r w:rsidR="00DC2C47" w:rsidRPr="00CB1839">
              <w:rPr>
                <w:lang w:val="uk-UA"/>
              </w:rPr>
              <w:t xml:space="preserve"> Чернівецької міської ради</w:t>
            </w:r>
            <w:r w:rsidRPr="00CB1839">
              <w:rPr>
                <w:lang w:val="uk-UA"/>
              </w:rPr>
              <w:t>,</w:t>
            </w:r>
          </w:p>
          <w:p w:rsidR="00A15DB8" w:rsidRPr="00CB1839" w:rsidRDefault="00DC2C47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>г</w:t>
            </w:r>
            <w:r w:rsidR="00A15DB8" w:rsidRPr="00CB1839">
              <w:rPr>
                <w:lang w:val="uk-UA"/>
              </w:rPr>
              <w:t>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50,0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30,0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10,0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10,0</w:t>
            </w:r>
          </w:p>
        </w:tc>
        <w:tc>
          <w:tcPr>
            <w:tcW w:w="3780" w:type="dxa"/>
          </w:tcPr>
          <w:p w:rsidR="00A15DB8" w:rsidRPr="00CB1839" w:rsidRDefault="0044507A" w:rsidP="0044507A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6000 майбутніх водіїв міста Чернівці,</w:t>
            </w:r>
            <w:r w:rsidRPr="0044507A">
              <w:rPr>
                <w:color w:val="000000"/>
                <w:lang w:val="uk-UA"/>
              </w:rPr>
              <w:t xml:space="preserve"> отримали знання та закріпили навички відповідального керування транспортними засобами без зловживання ПАР.</w:t>
            </w:r>
            <w:r>
              <w:rPr>
                <w:color w:val="000000"/>
                <w:lang w:val="uk-UA"/>
              </w:rPr>
              <w:t xml:space="preserve"> Рівень скоєння ДТП з причини вживання водієм психоактивних речовин, знизився на 10%.</w:t>
            </w:r>
            <w:r w:rsidRPr="0044507A">
              <w:rPr>
                <w:color w:val="000000"/>
                <w:lang w:val="uk-UA"/>
              </w:rPr>
              <w:t xml:space="preserve">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lastRenderedPageBreak/>
              <w:t>3.2.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color w:val="000000"/>
                <w:lang w:val="uk-UA"/>
              </w:rPr>
            </w:pPr>
            <w:r w:rsidRPr="00CF4B01">
              <w:rPr>
                <w:color w:val="000000"/>
                <w:lang w:val="uk-UA"/>
              </w:rPr>
              <w:t xml:space="preserve">Виготовлення мобільного майданчика для проведення профілактичних заходів </w:t>
            </w:r>
            <w:r w:rsidRPr="00CF4B01">
              <w:rPr>
                <w:lang w:val="uk-UA"/>
              </w:rPr>
              <w:t xml:space="preserve">«Твій друг – безпечний рух» серед мешканців міста Чернівці. </w:t>
            </w:r>
          </w:p>
        </w:tc>
        <w:tc>
          <w:tcPr>
            <w:tcW w:w="1842" w:type="dxa"/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Управління патрульної поліції в ЧО,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 xml:space="preserve">ідділ у справах сім’ї </w:t>
            </w:r>
            <w:r w:rsidR="00DC2C47" w:rsidRPr="00CB1839">
              <w:rPr>
                <w:lang w:val="uk-UA"/>
              </w:rPr>
              <w:t xml:space="preserve">та молоді Чернівецької міської ради, </w:t>
            </w:r>
          </w:p>
          <w:p w:rsidR="00A15DB8" w:rsidRPr="00CB1839" w:rsidRDefault="00DC2C47" w:rsidP="00CF4B01">
            <w:pPr>
              <w:jc w:val="both"/>
              <w:rPr>
                <w:rFonts w:ascii="Arial" w:hAnsi="Arial"/>
                <w:b/>
                <w:lang w:val="uk-UA"/>
              </w:rPr>
            </w:pPr>
            <w:r w:rsidRPr="00CB1839">
              <w:rPr>
                <w:lang w:val="uk-UA"/>
              </w:rPr>
              <w:t>г</w:t>
            </w:r>
            <w:r w:rsidR="00A15DB8" w:rsidRPr="00CB1839">
              <w:rPr>
                <w:lang w:val="uk-UA"/>
              </w:rPr>
              <w:t>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rFonts w:ascii="Arial" w:hAnsi="Arial"/>
                <w:b/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  <w:r w:rsidRPr="00CB1839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35,0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23,0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7,0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5,0</w:t>
            </w:r>
          </w:p>
        </w:tc>
        <w:tc>
          <w:tcPr>
            <w:tcW w:w="3780" w:type="dxa"/>
          </w:tcPr>
          <w:p w:rsidR="00A15DB8" w:rsidRPr="00CB1839" w:rsidRDefault="0044507A" w:rsidP="00CF4B01">
            <w:pPr>
              <w:jc w:val="both"/>
              <w:rPr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44507A">
              <w:rPr>
                <w:color w:val="000000"/>
                <w:lang w:val="uk-UA"/>
              </w:rPr>
              <w:t>000 жителів міста стали учасниками мобільного майданч</w:t>
            </w:r>
            <w:r>
              <w:rPr>
                <w:color w:val="000000"/>
                <w:lang w:val="uk-UA"/>
              </w:rPr>
              <w:t xml:space="preserve">ику «Твій друг – безпечний рух», на 40% </w:t>
            </w:r>
            <w:r w:rsidRPr="0044507A">
              <w:rPr>
                <w:color w:val="000000"/>
                <w:lang w:val="uk-UA"/>
              </w:rPr>
              <w:t xml:space="preserve">підвищили свій рівень знань з питань безпеки під час дорожнього руху та відпочинку дитячих майданчиках.       </w:t>
            </w:r>
            <w:r w:rsidRPr="00CB1839">
              <w:rPr>
                <w:color w:val="000000"/>
                <w:highlight w:val="yellow"/>
                <w:lang w:val="uk-UA"/>
              </w:rPr>
              <w:t xml:space="preserve">   </w:t>
            </w:r>
          </w:p>
        </w:tc>
      </w:tr>
      <w:tr w:rsidR="00A15DB8" w:rsidRPr="00CB1839" w:rsidTr="00CB18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41" w:type="dxa"/>
          </w:tcPr>
          <w:p w:rsidR="00A15DB8" w:rsidRPr="00CF4B01" w:rsidRDefault="00A15DB8" w:rsidP="00AD6188">
            <w:pPr>
              <w:spacing w:line="480" w:lineRule="auto"/>
              <w:rPr>
                <w:b/>
                <w:color w:val="000000"/>
                <w:lang w:val="uk-UA"/>
              </w:rPr>
            </w:pPr>
            <w:r w:rsidRPr="00CF4B01">
              <w:rPr>
                <w:b/>
                <w:color w:val="000000"/>
                <w:lang w:val="uk-UA"/>
              </w:rPr>
              <w:t>3.3.</w:t>
            </w:r>
          </w:p>
        </w:tc>
        <w:tc>
          <w:tcPr>
            <w:tcW w:w="3087" w:type="dxa"/>
          </w:tcPr>
          <w:p w:rsidR="00A15DB8" w:rsidRPr="00CF4B01" w:rsidRDefault="00A15DB8" w:rsidP="00CF4B01">
            <w:pPr>
              <w:jc w:val="both"/>
              <w:rPr>
                <w:lang w:val="uk-UA"/>
              </w:rPr>
            </w:pPr>
            <w:r w:rsidRPr="00CF4B01">
              <w:rPr>
                <w:lang w:val="uk-UA"/>
              </w:rPr>
              <w:t xml:space="preserve">Реалізація програми «Сусідська варта» за участі мешканців районів міста Чернівці для безпеки громади ситуацій. </w:t>
            </w:r>
          </w:p>
          <w:p w:rsidR="00A15DB8" w:rsidRPr="00CF4B01" w:rsidRDefault="00A15DB8" w:rsidP="00CF4B01">
            <w:pPr>
              <w:jc w:val="both"/>
              <w:rPr>
                <w:rFonts w:ascii="Arial" w:hAnsi="Arial"/>
                <w:b/>
                <w:color w:val="000000"/>
                <w:lang w:val="uk-UA"/>
              </w:rPr>
            </w:pPr>
          </w:p>
        </w:tc>
        <w:tc>
          <w:tcPr>
            <w:tcW w:w="1842" w:type="dxa"/>
          </w:tcPr>
          <w:p w:rsidR="00A15DB8" w:rsidRPr="00CB1839" w:rsidRDefault="00A15DB8" w:rsidP="00CF4B01">
            <w:pPr>
              <w:jc w:val="both"/>
              <w:rPr>
                <w:lang w:val="uk-UA"/>
              </w:rPr>
            </w:pPr>
            <w:r w:rsidRPr="00CB1839">
              <w:rPr>
                <w:lang w:val="uk-UA"/>
              </w:rPr>
              <w:t xml:space="preserve">Управління патрульної поліції в ЧО, </w:t>
            </w:r>
            <w:r w:rsidR="00DC2C47" w:rsidRPr="00CB1839">
              <w:rPr>
                <w:lang w:val="uk-UA"/>
              </w:rPr>
              <w:t>в</w:t>
            </w:r>
            <w:r w:rsidRPr="00CB1839">
              <w:rPr>
                <w:lang w:val="uk-UA"/>
              </w:rPr>
              <w:t>ідділ у справах сім’ї</w:t>
            </w:r>
            <w:r w:rsidR="00DC2C47" w:rsidRPr="00CB1839">
              <w:rPr>
                <w:lang w:val="uk-UA"/>
              </w:rPr>
              <w:t xml:space="preserve"> та молоді Чернівецької міської ради, </w:t>
            </w:r>
          </w:p>
          <w:p w:rsidR="00A15DB8" w:rsidRPr="00CB1839" w:rsidRDefault="00DC2C47" w:rsidP="00CF4B01">
            <w:pPr>
              <w:jc w:val="both"/>
              <w:rPr>
                <w:rFonts w:ascii="Arial" w:hAnsi="Arial"/>
                <w:b/>
                <w:lang w:val="uk-UA"/>
              </w:rPr>
            </w:pPr>
            <w:r w:rsidRPr="00CB1839">
              <w:rPr>
                <w:lang w:val="uk-UA"/>
              </w:rPr>
              <w:t>г</w:t>
            </w:r>
            <w:r w:rsidR="00A15DB8" w:rsidRPr="00CB1839">
              <w:rPr>
                <w:lang w:val="uk-UA"/>
              </w:rPr>
              <w:t>ромадські організації (за згодою)</w:t>
            </w:r>
          </w:p>
        </w:tc>
        <w:tc>
          <w:tcPr>
            <w:tcW w:w="1530" w:type="dxa"/>
          </w:tcPr>
          <w:p w:rsidR="00A15DB8" w:rsidRPr="00CB1839" w:rsidRDefault="00966B1E" w:rsidP="00AD6188">
            <w:pPr>
              <w:jc w:val="center"/>
              <w:rPr>
                <w:rFonts w:ascii="Arial" w:hAnsi="Arial"/>
                <w:b/>
                <w:lang w:val="uk-UA"/>
              </w:rPr>
            </w:pPr>
            <w:r w:rsidRPr="00CB1839">
              <w:rPr>
                <w:sz w:val="20"/>
                <w:szCs w:val="20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66,0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22,0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22,0</w:t>
            </w:r>
          </w:p>
        </w:tc>
        <w:tc>
          <w:tcPr>
            <w:tcW w:w="900" w:type="dxa"/>
          </w:tcPr>
          <w:p w:rsidR="00A15DB8" w:rsidRPr="00CB1839" w:rsidRDefault="00A15DB8" w:rsidP="00AD6188">
            <w:pPr>
              <w:spacing w:line="480" w:lineRule="auto"/>
              <w:jc w:val="center"/>
              <w:rPr>
                <w:lang w:val="uk-UA"/>
              </w:rPr>
            </w:pPr>
            <w:r w:rsidRPr="00CB1839">
              <w:rPr>
                <w:lang w:val="uk-UA"/>
              </w:rPr>
              <w:t>22,0</w:t>
            </w:r>
          </w:p>
        </w:tc>
        <w:tc>
          <w:tcPr>
            <w:tcW w:w="3780" w:type="dxa"/>
          </w:tcPr>
          <w:p w:rsidR="00A15DB8" w:rsidRPr="00CB1839" w:rsidRDefault="0044507A" w:rsidP="0044507A">
            <w:pPr>
              <w:jc w:val="both"/>
              <w:rPr>
                <w:rFonts w:ascii="Arial" w:hAnsi="Arial"/>
                <w:b/>
                <w:color w:val="000000"/>
                <w:highlight w:val="yellow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Pr="0044507A">
              <w:rPr>
                <w:color w:val="000000"/>
                <w:lang w:val="uk-UA"/>
              </w:rPr>
              <w:t xml:space="preserve"> 000 чернівчан, стали учасникам</w:t>
            </w:r>
            <w:r>
              <w:rPr>
                <w:color w:val="000000"/>
                <w:lang w:val="uk-UA"/>
              </w:rPr>
              <w:t xml:space="preserve">и «Сусідської варти» є агнетами та сприяли  </w:t>
            </w:r>
            <w:r w:rsidRPr="0044507A">
              <w:rPr>
                <w:color w:val="000000"/>
                <w:lang w:val="uk-UA"/>
              </w:rPr>
              <w:t xml:space="preserve">попередження </w:t>
            </w:r>
            <w:r>
              <w:rPr>
                <w:color w:val="000000"/>
                <w:lang w:val="uk-UA"/>
              </w:rPr>
              <w:t xml:space="preserve">й </w:t>
            </w:r>
            <w:r w:rsidRPr="0044507A">
              <w:rPr>
                <w:color w:val="000000"/>
                <w:lang w:val="uk-UA"/>
              </w:rPr>
              <w:t>реагуванн</w:t>
            </w:r>
            <w:r>
              <w:rPr>
                <w:color w:val="000000"/>
                <w:lang w:val="uk-UA"/>
              </w:rPr>
              <w:t>ю</w:t>
            </w:r>
            <w:r w:rsidRPr="0044507A">
              <w:rPr>
                <w:color w:val="000000"/>
                <w:lang w:val="uk-UA"/>
              </w:rPr>
              <w:t xml:space="preserve"> на факти ризикованої поведінки.</w:t>
            </w:r>
          </w:p>
        </w:tc>
      </w:tr>
      <w:tr w:rsidR="006247C0" w:rsidTr="00CB183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00" w:type="dxa"/>
            <w:gridSpan w:val="4"/>
            <w:vAlign w:val="center"/>
          </w:tcPr>
          <w:p w:rsidR="006247C0" w:rsidRPr="00CB1839" w:rsidRDefault="006247C0" w:rsidP="007F6EFD">
            <w:pPr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ВСЬОГО</w:t>
            </w:r>
          </w:p>
        </w:tc>
        <w:tc>
          <w:tcPr>
            <w:tcW w:w="900" w:type="dxa"/>
            <w:vAlign w:val="center"/>
          </w:tcPr>
          <w:p w:rsidR="006247C0" w:rsidRPr="00CB1839" w:rsidRDefault="006247C0" w:rsidP="006247C0">
            <w:pPr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2048,5</w:t>
            </w:r>
          </w:p>
        </w:tc>
        <w:tc>
          <w:tcPr>
            <w:tcW w:w="900" w:type="dxa"/>
            <w:vAlign w:val="center"/>
          </w:tcPr>
          <w:p w:rsidR="006247C0" w:rsidRPr="00CB1839" w:rsidRDefault="006247C0" w:rsidP="006247C0">
            <w:pPr>
              <w:tabs>
                <w:tab w:val="left" w:pos="8371"/>
              </w:tabs>
              <w:jc w:val="center"/>
              <w:rPr>
                <w:b/>
                <w:lang w:val="uk-UA"/>
              </w:rPr>
            </w:pPr>
            <w:r w:rsidRPr="00CB1839">
              <w:rPr>
                <w:b/>
                <w:lang w:val="uk-UA"/>
              </w:rPr>
              <w:t>707,5</w:t>
            </w:r>
          </w:p>
        </w:tc>
        <w:tc>
          <w:tcPr>
            <w:tcW w:w="900" w:type="dxa"/>
            <w:vAlign w:val="center"/>
          </w:tcPr>
          <w:p w:rsidR="006247C0" w:rsidRPr="00CB1839" w:rsidRDefault="006247C0" w:rsidP="006247C0">
            <w:pPr>
              <w:tabs>
                <w:tab w:val="left" w:pos="8371"/>
              </w:tabs>
              <w:jc w:val="center"/>
            </w:pPr>
            <w:r w:rsidRPr="00CB1839">
              <w:rPr>
                <w:b/>
                <w:lang w:val="uk-UA"/>
              </w:rPr>
              <w:t>671,5</w:t>
            </w:r>
          </w:p>
        </w:tc>
        <w:tc>
          <w:tcPr>
            <w:tcW w:w="900" w:type="dxa"/>
            <w:vAlign w:val="center"/>
          </w:tcPr>
          <w:p w:rsidR="006247C0" w:rsidRPr="00CB1839" w:rsidRDefault="006247C0" w:rsidP="006247C0">
            <w:pPr>
              <w:tabs>
                <w:tab w:val="left" w:pos="8371"/>
              </w:tabs>
              <w:jc w:val="center"/>
            </w:pPr>
            <w:r w:rsidRPr="00CB1839">
              <w:rPr>
                <w:b/>
                <w:lang w:val="uk-UA"/>
              </w:rPr>
              <w:t>669,5</w:t>
            </w:r>
          </w:p>
        </w:tc>
        <w:tc>
          <w:tcPr>
            <w:tcW w:w="3780" w:type="dxa"/>
          </w:tcPr>
          <w:p w:rsidR="006247C0" w:rsidRPr="00CF4B01" w:rsidRDefault="006247C0" w:rsidP="00CF4B01">
            <w:pPr>
              <w:jc w:val="both"/>
              <w:rPr>
                <w:color w:val="000000"/>
                <w:lang w:val="uk-UA"/>
              </w:rPr>
            </w:pPr>
          </w:p>
        </w:tc>
      </w:tr>
    </w:tbl>
    <w:p w:rsidR="00B2459E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2459E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2459E" w:rsidRPr="00A15DB8" w:rsidRDefault="00B2459E" w:rsidP="00B2459E">
      <w:pPr>
        <w:jc w:val="center"/>
        <w:rPr>
          <w:b/>
          <w:sz w:val="28"/>
          <w:szCs w:val="28"/>
          <w:lang w:val="uk-UA"/>
        </w:rPr>
      </w:pPr>
    </w:p>
    <w:p w:rsidR="00B2459E" w:rsidRDefault="00B2459E" w:rsidP="00B2459E">
      <w:pPr>
        <w:rPr>
          <w:b/>
          <w:sz w:val="28"/>
          <w:szCs w:val="28"/>
        </w:rPr>
      </w:pPr>
      <w:r>
        <w:rPr>
          <w:b/>
          <w:sz w:val="28"/>
          <w:szCs w:val="26"/>
        </w:rPr>
        <w:t xml:space="preserve">Секретар </w:t>
      </w:r>
      <w:r w:rsidRPr="00E23DCD">
        <w:rPr>
          <w:b/>
          <w:sz w:val="28"/>
          <w:szCs w:val="26"/>
        </w:rPr>
        <w:t>Чернівецьк</w:t>
      </w:r>
      <w:r>
        <w:rPr>
          <w:b/>
          <w:sz w:val="28"/>
          <w:szCs w:val="26"/>
        </w:rPr>
        <w:t>ої міської ради</w:t>
      </w:r>
      <w:r w:rsidRPr="00E23DCD">
        <w:rPr>
          <w:b/>
          <w:sz w:val="28"/>
          <w:szCs w:val="26"/>
        </w:rPr>
        <w:t xml:space="preserve">                                         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В.Продан</w:t>
      </w:r>
      <w:r>
        <w:rPr>
          <w:b/>
          <w:sz w:val="28"/>
          <w:szCs w:val="28"/>
        </w:rPr>
        <w:tab/>
      </w:r>
    </w:p>
    <w:p w:rsidR="00B2459E" w:rsidRDefault="00B2459E" w:rsidP="00B2459E">
      <w:pPr>
        <w:jc w:val="center"/>
        <w:rPr>
          <w:b/>
          <w:sz w:val="28"/>
          <w:szCs w:val="28"/>
        </w:rPr>
      </w:pPr>
    </w:p>
    <w:p w:rsidR="00B2459E" w:rsidRPr="00303689" w:rsidRDefault="00B2459E" w:rsidP="00B2459E">
      <w:pPr>
        <w:jc w:val="center"/>
        <w:rPr>
          <w:b/>
          <w:sz w:val="21"/>
          <w:szCs w:val="21"/>
        </w:rPr>
      </w:pPr>
    </w:p>
    <w:p w:rsidR="00B2459E" w:rsidRDefault="00B2459E" w:rsidP="00B2459E">
      <w:pPr>
        <w:tabs>
          <w:tab w:val="left" w:pos="8310"/>
        </w:tabs>
        <w:rPr>
          <w:b/>
          <w:sz w:val="28"/>
          <w:szCs w:val="28"/>
          <w:lang w:val="uk-UA"/>
        </w:rPr>
      </w:pPr>
    </w:p>
    <w:p w:rsidR="00B2459E" w:rsidRPr="00A04FB8" w:rsidRDefault="00B2459E" w:rsidP="00B2459E">
      <w:pPr>
        <w:rPr>
          <w:lang w:val="uk-UA"/>
        </w:rPr>
      </w:pPr>
      <w:r w:rsidRPr="00C21ECF">
        <w:rPr>
          <w:lang w:val="uk-UA"/>
        </w:rPr>
        <w:tab/>
      </w:r>
      <w:r w:rsidRPr="00C21ECF">
        <w:t xml:space="preserve">             </w:t>
      </w:r>
      <w:r w:rsidRPr="00C21ECF">
        <w:rPr>
          <w:lang w:val="uk-UA"/>
        </w:rPr>
        <w:tab/>
      </w:r>
      <w:r w:rsidRPr="009804CF">
        <w:t xml:space="preserve">                                                                          </w:t>
      </w:r>
    </w:p>
    <w:p w:rsidR="0084331C" w:rsidRPr="00B2459E" w:rsidRDefault="0084331C">
      <w:pPr>
        <w:rPr>
          <w:lang w:val="uk-UA"/>
        </w:rPr>
      </w:pPr>
    </w:p>
    <w:sectPr w:rsidR="0084331C" w:rsidRPr="00B2459E" w:rsidSect="00B2459E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E61" w:rsidRDefault="000B4E61">
      <w:r>
        <w:separator/>
      </w:r>
    </w:p>
  </w:endnote>
  <w:endnote w:type="continuationSeparator" w:id="0">
    <w:p w:rsidR="000B4E61" w:rsidRDefault="000B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E61" w:rsidRDefault="000B4E61">
      <w:r>
        <w:separator/>
      </w:r>
    </w:p>
  </w:footnote>
  <w:footnote w:type="continuationSeparator" w:id="0">
    <w:p w:rsidR="000B4E61" w:rsidRDefault="000B4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4CDA">
      <w:rPr>
        <w:rStyle w:val="a4"/>
        <w:noProof/>
      </w:rPr>
      <w:t>2</w: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0C9F"/>
    <w:multiLevelType w:val="hybridMultilevel"/>
    <w:tmpl w:val="EF82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9E"/>
    <w:rsid w:val="000B4E61"/>
    <w:rsid w:val="000C3260"/>
    <w:rsid w:val="000C643E"/>
    <w:rsid w:val="00146AFB"/>
    <w:rsid w:val="00162FCE"/>
    <w:rsid w:val="00170C9E"/>
    <w:rsid w:val="001A7CB0"/>
    <w:rsid w:val="001C27F8"/>
    <w:rsid w:val="002102C5"/>
    <w:rsid w:val="002247BA"/>
    <w:rsid w:val="002366C2"/>
    <w:rsid w:val="00254445"/>
    <w:rsid w:val="002A161F"/>
    <w:rsid w:val="003354E6"/>
    <w:rsid w:val="003E3FDC"/>
    <w:rsid w:val="003F2C90"/>
    <w:rsid w:val="00415839"/>
    <w:rsid w:val="0044507A"/>
    <w:rsid w:val="00470DB1"/>
    <w:rsid w:val="004A05ED"/>
    <w:rsid w:val="004E0117"/>
    <w:rsid w:val="006247C0"/>
    <w:rsid w:val="00650A9C"/>
    <w:rsid w:val="0072271B"/>
    <w:rsid w:val="007A03C0"/>
    <w:rsid w:val="007F6EFD"/>
    <w:rsid w:val="00836536"/>
    <w:rsid w:val="0084331C"/>
    <w:rsid w:val="008A0268"/>
    <w:rsid w:val="008E6E40"/>
    <w:rsid w:val="00966B1E"/>
    <w:rsid w:val="00A15DB8"/>
    <w:rsid w:val="00A932D3"/>
    <w:rsid w:val="00AC2098"/>
    <w:rsid w:val="00AD6188"/>
    <w:rsid w:val="00AF0B6B"/>
    <w:rsid w:val="00B1668F"/>
    <w:rsid w:val="00B2459E"/>
    <w:rsid w:val="00BA1273"/>
    <w:rsid w:val="00BE1A53"/>
    <w:rsid w:val="00C26146"/>
    <w:rsid w:val="00C73B36"/>
    <w:rsid w:val="00CB1839"/>
    <w:rsid w:val="00CF4B01"/>
    <w:rsid w:val="00D15981"/>
    <w:rsid w:val="00D2471D"/>
    <w:rsid w:val="00DC2C47"/>
    <w:rsid w:val="00DF2196"/>
    <w:rsid w:val="00E03D0F"/>
    <w:rsid w:val="00E21EA4"/>
    <w:rsid w:val="00E24CDA"/>
    <w:rsid w:val="00E32B4E"/>
    <w:rsid w:val="00E71E36"/>
    <w:rsid w:val="00F05DBB"/>
    <w:rsid w:val="00F7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26D6A2-F3B0-4FC3-943F-EDFA3996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9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2459E"/>
    <w:pPr>
      <w:tabs>
        <w:tab w:val="center" w:pos="4819"/>
        <w:tab w:val="right" w:pos="9639"/>
      </w:tabs>
    </w:pPr>
  </w:style>
  <w:style w:type="character" w:styleId="a4">
    <w:name w:val="page number"/>
    <w:rsid w:val="00B2459E"/>
    <w:rPr>
      <w:rFonts w:cs="Times New Roman"/>
    </w:rPr>
  </w:style>
  <w:style w:type="paragraph" w:styleId="a5">
    <w:name w:val="Body Text"/>
    <w:basedOn w:val="a"/>
    <w:rsid w:val="00A15DB8"/>
    <w:pPr>
      <w:suppressAutoHyphens/>
      <w:spacing w:after="120" w:line="100" w:lineRule="atLeast"/>
    </w:pPr>
    <w:rPr>
      <w:kern w:val="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2020-10-12T11:14:00Z</cp:lastPrinted>
  <dcterms:created xsi:type="dcterms:W3CDTF">2020-11-26T08:42:00Z</dcterms:created>
  <dcterms:modified xsi:type="dcterms:W3CDTF">2020-11-26T08:42:00Z</dcterms:modified>
</cp:coreProperties>
</file>