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CD8" w:rsidRPr="00C206DA" w:rsidRDefault="001B0CD8" w:rsidP="001B0CD8">
      <w:pPr>
        <w:pStyle w:val="1"/>
        <w:widowControl w:val="0"/>
        <w:ind w:firstLine="5670"/>
        <w:rPr>
          <w:caps/>
          <w:spacing w:val="80"/>
          <w:sz w:val="26"/>
          <w:szCs w:val="26"/>
        </w:rPr>
      </w:pPr>
      <w:bookmarkStart w:id="0" w:name="_GoBack"/>
      <w:bookmarkEnd w:id="0"/>
      <w:r w:rsidRPr="00C206DA">
        <w:rPr>
          <w:caps/>
          <w:spacing w:val="80"/>
          <w:sz w:val="26"/>
          <w:szCs w:val="26"/>
        </w:rPr>
        <w:t>Затверджено</w:t>
      </w:r>
    </w:p>
    <w:p w:rsidR="001B0CD8" w:rsidRPr="00C206DA" w:rsidRDefault="001B0CD8" w:rsidP="001B0CD8">
      <w:pPr>
        <w:pStyle w:val="1"/>
        <w:widowControl w:val="0"/>
        <w:ind w:firstLine="5670"/>
        <w:rPr>
          <w:sz w:val="26"/>
          <w:szCs w:val="26"/>
        </w:rPr>
      </w:pPr>
      <w:r w:rsidRPr="00C206DA">
        <w:rPr>
          <w:sz w:val="26"/>
          <w:szCs w:val="26"/>
        </w:rPr>
        <w:t xml:space="preserve">Рішення Чернівецької  </w:t>
      </w:r>
      <w:r>
        <w:rPr>
          <w:sz w:val="26"/>
          <w:szCs w:val="26"/>
        </w:rPr>
        <w:t>мі</w:t>
      </w:r>
      <w:r w:rsidRPr="00C206DA">
        <w:rPr>
          <w:sz w:val="26"/>
          <w:szCs w:val="26"/>
        </w:rPr>
        <w:t xml:space="preserve">ської </w:t>
      </w:r>
    </w:p>
    <w:p w:rsidR="001B0CD8" w:rsidRPr="00C206DA" w:rsidRDefault="001B0CD8" w:rsidP="001B0CD8">
      <w:pPr>
        <w:pStyle w:val="1"/>
        <w:widowControl w:val="0"/>
        <w:ind w:firstLine="5670"/>
        <w:rPr>
          <w:sz w:val="26"/>
          <w:szCs w:val="26"/>
        </w:rPr>
      </w:pPr>
      <w:r w:rsidRPr="00C206DA">
        <w:rPr>
          <w:sz w:val="26"/>
          <w:szCs w:val="26"/>
        </w:rPr>
        <w:t xml:space="preserve">ради </w:t>
      </w:r>
      <w:r w:rsidRPr="00C206DA">
        <w:rPr>
          <w:sz w:val="26"/>
          <w:szCs w:val="26"/>
          <w:lang w:val="en-US"/>
        </w:rPr>
        <w:t>VI</w:t>
      </w:r>
      <w:r w:rsidRPr="00C206DA">
        <w:rPr>
          <w:sz w:val="26"/>
          <w:szCs w:val="26"/>
        </w:rPr>
        <w:t>І скликання</w:t>
      </w:r>
    </w:p>
    <w:p w:rsidR="001B0CD8" w:rsidRPr="00C206DA" w:rsidRDefault="00B9072B" w:rsidP="001B0CD8">
      <w:pPr>
        <w:pStyle w:val="1"/>
        <w:widowControl w:val="0"/>
        <w:ind w:firstLine="5670"/>
        <w:rPr>
          <w:b w:val="0"/>
          <w:sz w:val="26"/>
          <w:szCs w:val="26"/>
        </w:rPr>
      </w:pPr>
      <w:r>
        <w:rPr>
          <w:sz w:val="26"/>
          <w:szCs w:val="26"/>
        </w:rPr>
        <w:t>17.03.</w:t>
      </w:r>
      <w:r w:rsidR="001B0CD8" w:rsidRPr="00C206DA">
        <w:rPr>
          <w:sz w:val="26"/>
          <w:szCs w:val="26"/>
        </w:rPr>
        <w:t>20</w:t>
      </w:r>
      <w:r w:rsidR="001B0CD8">
        <w:rPr>
          <w:sz w:val="26"/>
          <w:szCs w:val="26"/>
        </w:rPr>
        <w:t>20</w:t>
      </w:r>
      <w:r w:rsidR="001B0CD8" w:rsidRPr="00C206DA">
        <w:rPr>
          <w:sz w:val="26"/>
          <w:szCs w:val="26"/>
        </w:rPr>
        <w:t xml:space="preserve"> № </w:t>
      </w:r>
      <w:r>
        <w:rPr>
          <w:sz w:val="26"/>
          <w:szCs w:val="26"/>
        </w:rPr>
        <w:t>2098</w:t>
      </w:r>
    </w:p>
    <w:p w:rsidR="001B0CD8" w:rsidRPr="000006F2" w:rsidRDefault="001B0CD8" w:rsidP="001B0CD8">
      <w:pPr>
        <w:pStyle w:val="1"/>
        <w:widowControl w:val="0"/>
        <w:ind w:firstLine="5670"/>
        <w:rPr>
          <w:sz w:val="28"/>
          <w:szCs w:val="26"/>
        </w:rPr>
      </w:pPr>
    </w:p>
    <w:p w:rsidR="001B0CD8" w:rsidRPr="0071419D" w:rsidRDefault="001B0CD8" w:rsidP="001B0CD8">
      <w:pPr>
        <w:pStyle w:val="1"/>
        <w:widowControl w:val="0"/>
        <w:ind w:firstLine="5670"/>
        <w:rPr>
          <w:sz w:val="28"/>
          <w:szCs w:val="26"/>
        </w:rPr>
      </w:pPr>
      <w:r w:rsidRPr="0071419D">
        <w:rPr>
          <w:sz w:val="28"/>
        </w:rPr>
        <w:t xml:space="preserve">                                                                </w:t>
      </w:r>
    </w:p>
    <w:p w:rsidR="001B0CD8" w:rsidRDefault="001B0CD8" w:rsidP="001B0CD8">
      <w:pPr>
        <w:jc w:val="center"/>
        <w:rPr>
          <w:b/>
          <w:sz w:val="32"/>
          <w:szCs w:val="32"/>
        </w:rPr>
      </w:pPr>
    </w:p>
    <w:p w:rsidR="001B0CD8" w:rsidRDefault="001B0CD8" w:rsidP="001B0CD8">
      <w:pPr>
        <w:rPr>
          <w:sz w:val="28"/>
          <w:szCs w:val="28"/>
        </w:rPr>
      </w:pPr>
    </w:p>
    <w:p w:rsidR="001B0CD8" w:rsidRPr="0040482C" w:rsidRDefault="001B0CD8" w:rsidP="001B0CD8">
      <w:pPr>
        <w:rPr>
          <w:sz w:val="28"/>
          <w:szCs w:val="28"/>
        </w:rPr>
      </w:pPr>
    </w:p>
    <w:p w:rsidR="001B0CD8" w:rsidRDefault="001B0CD8" w:rsidP="001B0CD8">
      <w:pPr>
        <w:jc w:val="center"/>
        <w:rPr>
          <w:b/>
          <w:sz w:val="32"/>
          <w:szCs w:val="32"/>
        </w:rPr>
      </w:pPr>
    </w:p>
    <w:p w:rsidR="001B0CD8" w:rsidRPr="00812289" w:rsidRDefault="001B0CD8" w:rsidP="001B0CD8">
      <w:pPr>
        <w:jc w:val="center"/>
        <w:rPr>
          <w:b/>
          <w:caps/>
          <w:spacing w:val="80"/>
          <w:sz w:val="48"/>
          <w:szCs w:val="48"/>
        </w:rPr>
      </w:pPr>
      <w:r w:rsidRPr="00812289">
        <w:rPr>
          <w:b/>
          <w:caps/>
          <w:spacing w:val="80"/>
          <w:sz w:val="48"/>
          <w:szCs w:val="48"/>
        </w:rPr>
        <w:t>програма</w:t>
      </w:r>
    </w:p>
    <w:p w:rsidR="001B0CD8" w:rsidRPr="000550DB" w:rsidRDefault="001B0CD8" w:rsidP="001B0CD8">
      <w:pPr>
        <w:jc w:val="center"/>
        <w:rPr>
          <w:b/>
          <w:sz w:val="32"/>
          <w:szCs w:val="32"/>
        </w:rPr>
      </w:pPr>
    </w:p>
    <w:p w:rsidR="001B0CD8" w:rsidRDefault="001B0CD8" w:rsidP="001B0CD8">
      <w:pPr>
        <w:jc w:val="center"/>
        <w:rPr>
          <w:b/>
          <w:sz w:val="40"/>
          <w:szCs w:val="40"/>
        </w:rPr>
      </w:pPr>
      <w:r>
        <w:rPr>
          <w:b/>
          <w:sz w:val="40"/>
          <w:szCs w:val="40"/>
        </w:rPr>
        <w:t xml:space="preserve">розвитку інвестиційної діяльності </w:t>
      </w:r>
    </w:p>
    <w:p w:rsidR="001B0CD8" w:rsidRDefault="001B0CD8" w:rsidP="001B0CD8">
      <w:pPr>
        <w:jc w:val="center"/>
        <w:rPr>
          <w:b/>
          <w:sz w:val="40"/>
          <w:szCs w:val="40"/>
        </w:rPr>
      </w:pPr>
      <w:r>
        <w:rPr>
          <w:b/>
          <w:sz w:val="40"/>
          <w:szCs w:val="40"/>
        </w:rPr>
        <w:t>в місті Чернівцях</w:t>
      </w:r>
    </w:p>
    <w:p w:rsidR="001B0CD8" w:rsidRDefault="001B0CD8" w:rsidP="001B0CD8">
      <w:pPr>
        <w:jc w:val="center"/>
        <w:rPr>
          <w:b/>
          <w:sz w:val="40"/>
          <w:szCs w:val="40"/>
        </w:rPr>
      </w:pPr>
      <w:r>
        <w:rPr>
          <w:b/>
          <w:sz w:val="40"/>
          <w:szCs w:val="40"/>
        </w:rPr>
        <w:t>на 2020-2023 роки</w:t>
      </w:r>
    </w:p>
    <w:p w:rsidR="001B0CD8" w:rsidRDefault="001B0CD8" w:rsidP="001B0CD8">
      <w:pPr>
        <w:jc w:val="center"/>
        <w:rPr>
          <w:b/>
          <w:sz w:val="40"/>
          <w:szCs w:val="40"/>
        </w:rPr>
      </w:pPr>
    </w:p>
    <w:p w:rsidR="001B0CD8" w:rsidRPr="0040482C" w:rsidRDefault="001B0CD8" w:rsidP="001B0CD8">
      <w:pPr>
        <w:jc w:val="center"/>
        <w:rPr>
          <w:sz w:val="28"/>
          <w:szCs w:val="28"/>
        </w:rPr>
      </w:pPr>
    </w:p>
    <w:p w:rsidR="001B0CD8" w:rsidRPr="0040482C" w:rsidRDefault="001B0CD8" w:rsidP="001B0CD8">
      <w:pPr>
        <w:jc w:val="center"/>
        <w:rPr>
          <w:sz w:val="28"/>
          <w:szCs w:val="28"/>
        </w:rPr>
      </w:pPr>
    </w:p>
    <w:p w:rsidR="001B0CD8" w:rsidRPr="002006D6" w:rsidRDefault="001B0CD8" w:rsidP="001B0CD8">
      <w:pPr>
        <w:jc w:val="center"/>
      </w:pPr>
    </w:p>
    <w:p w:rsidR="001B0CD8" w:rsidRPr="0040482C" w:rsidRDefault="001B0CD8" w:rsidP="001B0CD8">
      <w:pPr>
        <w:jc w:val="center"/>
        <w:rPr>
          <w:sz w:val="28"/>
          <w:szCs w:val="28"/>
        </w:rPr>
      </w:pPr>
    </w:p>
    <w:p w:rsidR="001B0CD8" w:rsidRPr="0040482C" w:rsidRDefault="001B0CD8" w:rsidP="001B0CD8">
      <w:pPr>
        <w:jc w:val="center"/>
        <w:rPr>
          <w:sz w:val="28"/>
          <w:szCs w:val="28"/>
        </w:rPr>
      </w:pPr>
    </w:p>
    <w:p w:rsidR="001B0CD8" w:rsidRPr="0040482C" w:rsidRDefault="001B0CD8" w:rsidP="001B0CD8">
      <w:pPr>
        <w:jc w:val="center"/>
        <w:rPr>
          <w:sz w:val="28"/>
          <w:szCs w:val="28"/>
        </w:rPr>
      </w:pPr>
    </w:p>
    <w:p w:rsidR="001B0CD8" w:rsidRPr="0040482C" w:rsidRDefault="001B0CD8" w:rsidP="001B0CD8">
      <w:pPr>
        <w:jc w:val="center"/>
        <w:rPr>
          <w:sz w:val="28"/>
          <w:szCs w:val="28"/>
        </w:rPr>
      </w:pPr>
    </w:p>
    <w:p w:rsidR="001B0CD8" w:rsidRPr="0040482C" w:rsidRDefault="001B0CD8" w:rsidP="001B0CD8">
      <w:pPr>
        <w:jc w:val="center"/>
        <w:rPr>
          <w:sz w:val="28"/>
          <w:szCs w:val="28"/>
        </w:rPr>
      </w:pPr>
    </w:p>
    <w:p w:rsidR="001B0CD8" w:rsidRPr="0040482C" w:rsidRDefault="001B0CD8" w:rsidP="001B0CD8">
      <w:pPr>
        <w:jc w:val="center"/>
        <w:rPr>
          <w:sz w:val="28"/>
          <w:szCs w:val="28"/>
        </w:rPr>
      </w:pPr>
    </w:p>
    <w:p w:rsidR="001B0CD8" w:rsidRPr="0040482C" w:rsidRDefault="001B0CD8" w:rsidP="001B0CD8">
      <w:pPr>
        <w:jc w:val="center"/>
        <w:rPr>
          <w:sz w:val="28"/>
          <w:szCs w:val="28"/>
        </w:rPr>
      </w:pPr>
    </w:p>
    <w:p w:rsidR="001B0CD8" w:rsidRPr="0040482C" w:rsidRDefault="001B0CD8" w:rsidP="001B0CD8">
      <w:pPr>
        <w:jc w:val="center"/>
        <w:rPr>
          <w:sz w:val="28"/>
          <w:szCs w:val="28"/>
        </w:rPr>
      </w:pPr>
    </w:p>
    <w:p w:rsidR="001B0CD8" w:rsidRPr="0040482C" w:rsidRDefault="001B0CD8" w:rsidP="001B0CD8">
      <w:pPr>
        <w:jc w:val="center"/>
        <w:rPr>
          <w:sz w:val="28"/>
          <w:szCs w:val="28"/>
        </w:rPr>
      </w:pPr>
    </w:p>
    <w:p w:rsidR="001B0CD8" w:rsidRPr="0040482C" w:rsidRDefault="001B0CD8" w:rsidP="001B0CD8">
      <w:pPr>
        <w:jc w:val="center"/>
        <w:rPr>
          <w:sz w:val="28"/>
          <w:szCs w:val="28"/>
        </w:rPr>
      </w:pPr>
    </w:p>
    <w:p w:rsidR="001B0CD8" w:rsidRPr="0040482C" w:rsidRDefault="001B0CD8" w:rsidP="001B0CD8">
      <w:pPr>
        <w:jc w:val="center"/>
        <w:rPr>
          <w:sz w:val="28"/>
          <w:szCs w:val="28"/>
        </w:rPr>
      </w:pPr>
    </w:p>
    <w:p w:rsidR="001B0CD8" w:rsidRPr="0040482C" w:rsidRDefault="001B0CD8" w:rsidP="001B0CD8">
      <w:pPr>
        <w:jc w:val="center"/>
        <w:rPr>
          <w:sz w:val="28"/>
          <w:szCs w:val="28"/>
        </w:rPr>
      </w:pPr>
    </w:p>
    <w:p w:rsidR="001B0CD8" w:rsidRPr="0040482C" w:rsidRDefault="001B0CD8" w:rsidP="001B0CD8">
      <w:pPr>
        <w:jc w:val="center"/>
        <w:rPr>
          <w:sz w:val="28"/>
          <w:szCs w:val="28"/>
        </w:rPr>
      </w:pPr>
    </w:p>
    <w:p w:rsidR="001B0CD8" w:rsidRPr="0040482C" w:rsidRDefault="001B0CD8" w:rsidP="001B0CD8">
      <w:pPr>
        <w:jc w:val="center"/>
        <w:rPr>
          <w:sz w:val="28"/>
          <w:szCs w:val="28"/>
        </w:rPr>
      </w:pPr>
    </w:p>
    <w:p w:rsidR="001B0CD8" w:rsidRDefault="001B0CD8" w:rsidP="001B0CD8">
      <w:pPr>
        <w:jc w:val="center"/>
        <w:rPr>
          <w:sz w:val="28"/>
          <w:szCs w:val="28"/>
        </w:rPr>
      </w:pPr>
    </w:p>
    <w:p w:rsidR="001B0CD8" w:rsidRDefault="001B0CD8" w:rsidP="001B0CD8">
      <w:pPr>
        <w:ind w:firstLine="708"/>
        <w:jc w:val="center"/>
        <w:rPr>
          <w:bCs/>
          <w:sz w:val="28"/>
          <w:szCs w:val="28"/>
        </w:rPr>
      </w:pPr>
    </w:p>
    <w:p w:rsidR="001B0CD8" w:rsidRDefault="001B0CD8" w:rsidP="001B0CD8">
      <w:pPr>
        <w:ind w:firstLine="708"/>
        <w:jc w:val="center"/>
        <w:rPr>
          <w:bCs/>
          <w:sz w:val="28"/>
          <w:szCs w:val="28"/>
        </w:rPr>
      </w:pPr>
    </w:p>
    <w:p w:rsidR="001B0CD8" w:rsidRDefault="001B0CD8" w:rsidP="001B0CD8">
      <w:pPr>
        <w:ind w:firstLine="708"/>
        <w:jc w:val="center"/>
        <w:rPr>
          <w:bCs/>
          <w:sz w:val="28"/>
          <w:szCs w:val="28"/>
        </w:rPr>
      </w:pPr>
      <w:r w:rsidRPr="00AB2320">
        <w:rPr>
          <w:bCs/>
          <w:sz w:val="28"/>
          <w:szCs w:val="28"/>
        </w:rPr>
        <w:t>м.Чернівці</w:t>
      </w:r>
    </w:p>
    <w:p w:rsidR="001B0CD8" w:rsidRPr="00AB2320" w:rsidRDefault="001B0CD8" w:rsidP="001B0CD8">
      <w:pPr>
        <w:ind w:firstLine="708"/>
        <w:jc w:val="center"/>
        <w:rPr>
          <w:bCs/>
          <w:sz w:val="28"/>
          <w:szCs w:val="28"/>
        </w:rPr>
      </w:pPr>
    </w:p>
    <w:p w:rsidR="001B0CD8" w:rsidRPr="002006D6" w:rsidRDefault="001B0CD8" w:rsidP="001B0CD8">
      <w:pPr>
        <w:ind w:firstLine="708"/>
        <w:jc w:val="center"/>
        <w:rPr>
          <w:bCs/>
          <w:sz w:val="28"/>
          <w:szCs w:val="28"/>
        </w:rPr>
      </w:pPr>
      <w:r w:rsidRPr="002006D6">
        <w:rPr>
          <w:bCs/>
          <w:sz w:val="28"/>
          <w:szCs w:val="28"/>
        </w:rPr>
        <w:t>20</w:t>
      </w:r>
      <w:r>
        <w:rPr>
          <w:bCs/>
          <w:sz w:val="28"/>
          <w:szCs w:val="28"/>
        </w:rPr>
        <w:t>20</w:t>
      </w:r>
      <w:r w:rsidRPr="002006D6">
        <w:rPr>
          <w:bCs/>
          <w:sz w:val="28"/>
          <w:szCs w:val="28"/>
        </w:rPr>
        <w:t xml:space="preserve"> рік</w:t>
      </w:r>
    </w:p>
    <w:p w:rsidR="001B0CD8" w:rsidRDefault="001B0CD8" w:rsidP="001B0CD8">
      <w:pPr>
        <w:ind w:left="2124" w:firstLine="708"/>
        <w:jc w:val="center"/>
        <w:rPr>
          <w:sz w:val="28"/>
          <w:szCs w:val="28"/>
        </w:rPr>
      </w:pPr>
    </w:p>
    <w:p w:rsidR="001B0CD8" w:rsidRPr="0097408F" w:rsidRDefault="001B0CD8" w:rsidP="001B0CD8">
      <w:pPr>
        <w:ind w:left="2124" w:firstLine="708"/>
        <w:jc w:val="center"/>
        <w:rPr>
          <w:sz w:val="28"/>
          <w:szCs w:val="28"/>
        </w:rPr>
      </w:pPr>
    </w:p>
    <w:p w:rsidR="001B0CD8" w:rsidRDefault="001B0CD8" w:rsidP="001B0CD8">
      <w:pPr>
        <w:ind w:firstLine="708"/>
        <w:jc w:val="center"/>
        <w:rPr>
          <w:b/>
          <w:bCs/>
          <w:sz w:val="28"/>
          <w:szCs w:val="28"/>
        </w:rPr>
      </w:pPr>
    </w:p>
    <w:p w:rsidR="001B0CD8" w:rsidRDefault="001B0CD8" w:rsidP="001B0CD8">
      <w:pPr>
        <w:ind w:firstLine="708"/>
        <w:jc w:val="center"/>
        <w:rPr>
          <w:b/>
          <w:bCs/>
          <w:sz w:val="28"/>
          <w:szCs w:val="28"/>
        </w:rPr>
      </w:pPr>
      <w:r>
        <w:rPr>
          <w:b/>
          <w:bCs/>
          <w:sz w:val="28"/>
          <w:szCs w:val="28"/>
        </w:rPr>
        <w:lastRenderedPageBreak/>
        <w:t>ЗМІСТ</w:t>
      </w:r>
    </w:p>
    <w:p w:rsidR="001B0CD8" w:rsidRDefault="001B0CD8" w:rsidP="001B0CD8">
      <w:pPr>
        <w:ind w:firstLine="708"/>
        <w:jc w:val="center"/>
        <w:rPr>
          <w:b/>
          <w:bCs/>
          <w:sz w:val="28"/>
          <w:szCs w:val="28"/>
        </w:rPr>
      </w:pPr>
    </w:p>
    <w:tbl>
      <w:tblPr>
        <w:tblW w:w="9606" w:type="dxa"/>
        <w:tblLook w:val="01E0" w:firstRow="1" w:lastRow="1" w:firstColumn="1" w:lastColumn="1" w:noHBand="0" w:noVBand="0"/>
      </w:tblPr>
      <w:tblGrid>
        <w:gridCol w:w="698"/>
        <w:gridCol w:w="7937"/>
        <w:gridCol w:w="971"/>
      </w:tblGrid>
      <w:tr w:rsidR="001B0CD8" w:rsidRPr="002E16B2" w:rsidTr="003852BB">
        <w:tc>
          <w:tcPr>
            <w:tcW w:w="698" w:type="dxa"/>
          </w:tcPr>
          <w:p w:rsidR="001B0CD8" w:rsidRPr="002E16B2" w:rsidRDefault="001B0CD8" w:rsidP="00144423">
            <w:pPr>
              <w:tabs>
                <w:tab w:val="left" w:pos="9163"/>
              </w:tabs>
              <w:jc w:val="center"/>
              <w:rPr>
                <w:color w:val="000000"/>
                <w:sz w:val="28"/>
                <w:szCs w:val="28"/>
              </w:rPr>
            </w:pPr>
            <w:r w:rsidRPr="002E16B2">
              <w:rPr>
                <w:color w:val="000000"/>
                <w:sz w:val="28"/>
                <w:szCs w:val="28"/>
              </w:rPr>
              <w:t>1.</w:t>
            </w:r>
          </w:p>
        </w:tc>
        <w:tc>
          <w:tcPr>
            <w:tcW w:w="7937" w:type="dxa"/>
          </w:tcPr>
          <w:p w:rsidR="001B0CD8" w:rsidRPr="00DC7EAA" w:rsidRDefault="001B0CD8" w:rsidP="00144423">
            <w:pPr>
              <w:tabs>
                <w:tab w:val="left" w:pos="9163"/>
              </w:tabs>
              <w:jc w:val="both"/>
              <w:rPr>
                <w:color w:val="000000"/>
                <w:sz w:val="28"/>
                <w:szCs w:val="28"/>
              </w:rPr>
            </w:pPr>
            <w:r w:rsidRPr="00DC7EAA">
              <w:rPr>
                <w:color w:val="000000"/>
                <w:sz w:val="28"/>
                <w:szCs w:val="28"/>
              </w:rPr>
              <w:t>Паспорт Програми</w:t>
            </w:r>
          </w:p>
        </w:tc>
        <w:tc>
          <w:tcPr>
            <w:tcW w:w="971" w:type="dxa"/>
            <w:vAlign w:val="center"/>
          </w:tcPr>
          <w:p w:rsidR="001B0CD8" w:rsidRPr="005A3FD1" w:rsidRDefault="005A3FD1" w:rsidP="00144423">
            <w:pPr>
              <w:tabs>
                <w:tab w:val="left" w:pos="9163"/>
              </w:tabs>
              <w:jc w:val="center"/>
              <w:rPr>
                <w:color w:val="000000"/>
                <w:sz w:val="28"/>
                <w:szCs w:val="28"/>
              </w:rPr>
            </w:pPr>
            <w:r>
              <w:rPr>
                <w:color w:val="000000"/>
                <w:sz w:val="28"/>
                <w:szCs w:val="28"/>
              </w:rPr>
              <w:t>3</w:t>
            </w:r>
          </w:p>
        </w:tc>
      </w:tr>
      <w:tr w:rsidR="001B0CD8" w:rsidRPr="002E16B2" w:rsidTr="003852BB">
        <w:tc>
          <w:tcPr>
            <w:tcW w:w="698" w:type="dxa"/>
          </w:tcPr>
          <w:p w:rsidR="001B0CD8" w:rsidRPr="002E16B2" w:rsidRDefault="001B0CD8" w:rsidP="00144423">
            <w:pPr>
              <w:jc w:val="center"/>
              <w:rPr>
                <w:color w:val="000000"/>
                <w:sz w:val="28"/>
                <w:szCs w:val="28"/>
              </w:rPr>
            </w:pPr>
          </w:p>
        </w:tc>
        <w:tc>
          <w:tcPr>
            <w:tcW w:w="7937" w:type="dxa"/>
          </w:tcPr>
          <w:p w:rsidR="001B0CD8" w:rsidRPr="00DC7EAA" w:rsidRDefault="001B0CD8" w:rsidP="00144423">
            <w:pPr>
              <w:jc w:val="both"/>
              <w:rPr>
                <w:color w:val="000000"/>
                <w:sz w:val="28"/>
                <w:szCs w:val="28"/>
              </w:rPr>
            </w:pPr>
          </w:p>
        </w:tc>
        <w:tc>
          <w:tcPr>
            <w:tcW w:w="971" w:type="dxa"/>
            <w:vAlign w:val="center"/>
          </w:tcPr>
          <w:p w:rsidR="001B0CD8" w:rsidRPr="002E16B2" w:rsidRDefault="001B0CD8" w:rsidP="00144423">
            <w:pPr>
              <w:jc w:val="center"/>
              <w:rPr>
                <w:color w:val="000000"/>
                <w:sz w:val="28"/>
                <w:szCs w:val="28"/>
              </w:rPr>
            </w:pPr>
          </w:p>
        </w:tc>
      </w:tr>
      <w:tr w:rsidR="001B0CD8" w:rsidRPr="002E16B2" w:rsidTr="003852BB">
        <w:tc>
          <w:tcPr>
            <w:tcW w:w="698" w:type="dxa"/>
          </w:tcPr>
          <w:p w:rsidR="001B0CD8" w:rsidRPr="002E16B2" w:rsidRDefault="001B0CD8" w:rsidP="00144423">
            <w:pPr>
              <w:jc w:val="center"/>
              <w:rPr>
                <w:color w:val="000000"/>
                <w:sz w:val="28"/>
                <w:szCs w:val="28"/>
              </w:rPr>
            </w:pPr>
            <w:r w:rsidRPr="002E16B2">
              <w:rPr>
                <w:color w:val="000000"/>
                <w:sz w:val="28"/>
                <w:szCs w:val="28"/>
              </w:rPr>
              <w:t>2.</w:t>
            </w:r>
          </w:p>
        </w:tc>
        <w:tc>
          <w:tcPr>
            <w:tcW w:w="7937" w:type="dxa"/>
          </w:tcPr>
          <w:p w:rsidR="001B0CD8" w:rsidRPr="00DC7EAA" w:rsidRDefault="001B0CD8" w:rsidP="00144423">
            <w:pPr>
              <w:jc w:val="both"/>
              <w:rPr>
                <w:color w:val="000000"/>
                <w:sz w:val="28"/>
                <w:szCs w:val="28"/>
              </w:rPr>
            </w:pPr>
            <w:r w:rsidRPr="00DC7EAA">
              <w:rPr>
                <w:color w:val="000000"/>
                <w:sz w:val="28"/>
                <w:szCs w:val="28"/>
              </w:rPr>
              <w:t>Визначення проблеми, на розв’язання якої спрямована Програма</w:t>
            </w:r>
          </w:p>
        </w:tc>
        <w:tc>
          <w:tcPr>
            <w:tcW w:w="971" w:type="dxa"/>
            <w:vAlign w:val="center"/>
          </w:tcPr>
          <w:p w:rsidR="001B0CD8" w:rsidRPr="009F0F82" w:rsidRDefault="005A3FD1" w:rsidP="00144423">
            <w:pPr>
              <w:jc w:val="center"/>
              <w:rPr>
                <w:color w:val="000000"/>
                <w:sz w:val="28"/>
                <w:szCs w:val="28"/>
              </w:rPr>
            </w:pPr>
            <w:r>
              <w:rPr>
                <w:color w:val="000000"/>
                <w:sz w:val="28"/>
                <w:szCs w:val="28"/>
              </w:rPr>
              <w:t>4</w:t>
            </w:r>
          </w:p>
        </w:tc>
      </w:tr>
      <w:tr w:rsidR="001B0CD8" w:rsidRPr="002E16B2" w:rsidTr="003852BB">
        <w:tc>
          <w:tcPr>
            <w:tcW w:w="698" w:type="dxa"/>
          </w:tcPr>
          <w:p w:rsidR="001B0CD8" w:rsidRPr="002E16B2" w:rsidRDefault="001B0CD8" w:rsidP="00144423">
            <w:pPr>
              <w:jc w:val="center"/>
              <w:rPr>
                <w:color w:val="000000"/>
                <w:sz w:val="16"/>
                <w:szCs w:val="16"/>
              </w:rPr>
            </w:pPr>
          </w:p>
        </w:tc>
        <w:tc>
          <w:tcPr>
            <w:tcW w:w="7937" w:type="dxa"/>
          </w:tcPr>
          <w:p w:rsidR="001B0CD8" w:rsidRPr="00DC7EAA" w:rsidRDefault="001B0CD8" w:rsidP="00144423">
            <w:pPr>
              <w:jc w:val="both"/>
              <w:rPr>
                <w:color w:val="000000"/>
                <w:sz w:val="16"/>
                <w:szCs w:val="16"/>
              </w:rPr>
            </w:pPr>
          </w:p>
        </w:tc>
        <w:tc>
          <w:tcPr>
            <w:tcW w:w="971" w:type="dxa"/>
            <w:vAlign w:val="center"/>
          </w:tcPr>
          <w:p w:rsidR="001B0CD8" w:rsidRPr="009F0F82" w:rsidRDefault="001B0CD8" w:rsidP="00144423">
            <w:pPr>
              <w:jc w:val="center"/>
              <w:rPr>
                <w:color w:val="000000"/>
                <w:sz w:val="16"/>
                <w:szCs w:val="16"/>
              </w:rPr>
            </w:pPr>
          </w:p>
        </w:tc>
      </w:tr>
      <w:tr w:rsidR="001B0CD8" w:rsidRPr="002E16B2" w:rsidTr="003852BB">
        <w:tc>
          <w:tcPr>
            <w:tcW w:w="698" w:type="dxa"/>
          </w:tcPr>
          <w:p w:rsidR="001B0CD8" w:rsidRPr="002E16B2" w:rsidRDefault="001B0CD8" w:rsidP="00144423">
            <w:pPr>
              <w:jc w:val="center"/>
              <w:rPr>
                <w:color w:val="000000"/>
                <w:sz w:val="28"/>
                <w:szCs w:val="28"/>
              </w:rPr>
            </w:pPr>
            <w:r w:rsidRPr="002E16B2">
              <w:rPr>
                <w:color w:val="000000"/>
                <w:sz w:val="28"/>
                <w:szCs w:val="28"/>
              </w:rPr>
              <w:t>3.</w:t>
            </w:r>
          </w:p>
        </w:tc>
        <w:tc>
          <w:tcPr>
            <w:tcW w:w="7937" w:type="dxa"/>
          </w:tcPr>
          <w:p w:rsidR="001B0CD8" w:rsidRPr="00DC7EAA" w:rsidRDefault="001B0CD8" w:rsidP="00144423">
            <w:pPr>
              <w:jc w:val="both"/>
              <w:rPr>
                <w:color w:val="000000"/>
                <w:sz w:val="28"/>
                <w:szCs w:val="28"/>
              </w:rPr>
            </w:pPr>
            <w:r w:rsidRPr="00DC7EAA">
              <w:rPr>
                <w:color w:val="000000"/>
                <w:sz w:val="28"/>
                <w:szCs w:val="28"/>
              </w:rPr>
              <w:t>Мета Програми</w:t>
            </w:r>
          </w:p>
        </w:tc>
        <w:tc>
          <w:tcPr>
            <w:tcW w:w="971" w:type="dxa"/>
            <w:vAlign w:val="center"/>
          </w:tcPr>
          <w:p w:rsidR="001B0CD8" w:rsidRPr="003852BB" w:rsidRDefault="003852BB" w:rsidP="00144423">
            <w:pPr>
              <w:jc w:val="center"/>
              <w:rPr>
                <w:color w:val="000000"/>
                <w:sz w:val="28"/>
                <w:szCs w:val="28"/>
              </w:rPr>
            </w:pPr>
            <w:r>
              <w:rPr>
                <w:color w:val="000000"/>
                <w:sz w:val="28"/>
                <w:szCs w:val="28"/>
              </w:rPr>
              <w:t>6</w:t>
            </w:r>
          </w:p>
        </w:tc>
      </w:tr>
      <w:tr w:rsidR="001B0CD8" w:rsidRPr="002E16B2" w:rsidTr="003852BB">
        <w:tc>
          <w:tcPr>
            <w:tcW w:w="698" w:type="dxa"/>
          </w:tcPr>
          <w:p w:rsidR="001B0CD8" w:rsidRPr="002E16B2" w:rsidRDefault="001B0CD8" w:rsidP="00144423">
            <w:pPr>
              <w:jc w:val="center"/>
              <w:rPr>
                <w:color w:val="000000"/>
                <w:sz w:val="16"/>
                <w:szCs w:val="16"/>
                <w:lang w:val="en-US"/>
              </w:rPr>
            </w:pPr>
          </w:p>
        </w:tc>
        <w:tc>
          <w:tcPr>
            <w:tcW w:w="7937" w:type="dxa"/>
          </w:tcPr>
          <w:p w:rsidR="001B0CD8" w:rsidRPr="00DC7EAA" w:rsidRDefault="001B0CD8" w:rsidP="00144423">
            <w:pPr>
              <w:jc w:val="both"/>
              <w:rPr>
                <w:color w:val="000000"/>
                <w:sz w:val="16"/>
                <w:szCs w:val="16"/>
              </w:rPr>
            </w:pPr>
          </w:p>
        </w:tc>
        <w:tc>
          <w:tcPr>
            <w:tcW w:w="971" w:type="dxa"/>
            <w:vAlign w:val="center"/>
          </w:tcPr>
          <w:p w:rsidR="001B0CD8" w:rsidRPr="002E16B2" w:rsidRDefault="001B0CD8" w:rsidP="00144423">
            <w:pPr>
              <w:jc w:val="center"/>
              <w:rPr>
                <w:color w:val="000000"/>
                <w:sz w:val="16"/>
                <w:szCs w:val="16"/>
              </w:rPr>
            </w:pPr>
          </w:p>
        </w:tc>
      </w:tr>
      <w:tr w:rsidR="001B0CD8" w:rsidRPr="002E16B2" w:rsidTr="003852BB">
        <w:tc>
          <w:tcPr>
            <w:tcW w:w="698" w:type="dxa"/>
          </w:tcPr>
          <w:p w:rsidR="001B0CD8" w:rsidRPr="002E16B2" w:rsidRDefault="001B0CD8" w:rsidP="00144423">
            <w:pPr>
              <w:jc w:val="center"/>
              <w:rPr>
                <w:color w:val="000000"/>
                <w:sz w:val="28"/>
                <w:szCs w:val="28"/>
              </w:rPr>
            </w:pPr>
            <w:r w:rsidRPr="002E16B2">
              <w:rPr>
                <w:color w:val="000000"/>
                <w:sz w:val="28"/>
                <w:szCs w:val="28"/>
              </w:rPr>
              <w:t>4.</w:t>
            </w:r>
          </w:p>
        </w:tc>
        <w:tc>
          <w:tcPr>
            <w:tcW w:w="7937" w:type="dxa"/>
          </w:tcPr>
          <w:p w:rsidR="001B0CD8" w:rsidRPr="00DC7EAA" w:rsidRDefault="001B0CD8" w:rsidP="00144423">
            <w:pPr>
              <w:jc w:val="both"/>
              <w:rPr>
                <w:color w:val="000000"/>
                <w:sz w:val="28"/>
                <w:szCs w:val="28"/>
              </w:rPr>
            </w:pPr>
            <w:r w:rsidRPr="00DC7EAA">
              <w:rPr>
                <w:color w:val="000000"/>
                <w:sz w:val="28"/>
                <w:szCs w:val="28"/>
              </w:rPr>
              <w:t>Шляхи і засоби розв’язання проблеми, строки</w:t>
            </w:r>
            <w:r w:rsidR="00A05CDE">
              <w:rPr>
                <w:color w:val="000000"/>
                <w:sz w:val="28"/>
                <w:szCs w:val="28"/>
              </w:rPr>
              <w:t xml:space="preserve"> та етапи</w:t>
            </w:r>
            <w:r w:rsidRPr="00DC7EAA">
              <w:rPr>
                <w:color w:val="000000"/>
                <w:sz w:val="28"/>
                <w:szCs w:val="28"/>
              </w:rPr>
              <w:t xml:space="preserve"> виконання Програми</w:t>
            </w:r>
          </w:p>
        </w:tc>
        <w:tc>
          <w:tcPr>
            <w:tcW w:w="971" w:type="dxa"/>
            <w:vAlign w:val="center"/>
          </w:tcPr>
          <w:p w:rsidR="001B0CD8" w:rsidRPr="005709D3" w:rsidRDefault="003852BB" w:rsidP="00144423">
            <w:pPr>
              <w:jc w:val="center"/>
              <w:rPr>
                <w:color w:val="000000"/>
                <w:sz w:val="28"/>
                <w:szCs w:val="28"/>
              </w:rPr>
            </w:pPr>
            <w:r>
              <w:rPr>
                <w:color w:val="000000"/>
                <w:sz w:val="28"/>
                <w:szCs w:val="28"/>
              </w:rPr>
              <w:t>7</w:t>
            </w:r>
          </w:p>
        </w:tc>
      </w:tr>
      <w:tr w:rsidR="001B0CD8" w:rsidRPr="002E16B2" w:rsidTr="003852BB">
        <w:tc>
          <w:tcPr>
            <w:tcW w:w="698" w:type="dxa"/>
          </w:tcPr>
          <w:p w:rsidR="001B0CD8" w:rsidRPr="002E16B2" w:rsidRDefault="001B0CD8" w:rsidP="00144423">
            <w:pPr>
              <w:jc w:val="center"/>
              <w:rPr>
                <w:color w:val="000000"/>
                <w:sz w:val="16"/>
                <w:szCs w:val="16"/>
              </w:rPr>
            </w:pPr>
          </w:p>
        </w:tc>
        <w:tc>
          <w:tcPr>
            <w:tcW w:w="7937" w:type="dxa"/>
          </w:tcPr>
          <w:p w:rsidR="001B0CD8" w:rsidRPr="00DC7EAA" w:rsidRDefault="001B0CD8" w:rsidP="00144423">
            <w:pPr>
              <w:jc w:val="both"/>
              <w:rPr>
                <w:color w:val="000000"/>
                <w:sz w:val="16"/>
                <w:szCs w:val="16"/>
              </w:rPr>
            </w:pPr>
          </w:p>
        </w:tc>
        <w:tc>
          <w:tcPr>
            <w:tcW w:w="971" w:type="dxa"/>
            <w:vAlign w:val="center"/>
          </w:tcPr>
          <w:p w:rsidR="001B0CD8" w:rsidRPr="002E16B2" w:rsidRDefault="001B0CD8" w:rsidP="00144423">
            <w:pPr>
              <w:jc w:val="center"/>
              <w:rPr>
                <w:color w:val="000000"/>
                <w:sz w:val="16"/>
                <w:szCs w:val="16"/>
              </w:rPr>
            </w:pPr>
          </w:p>
        </w:tc>
      </w:tr>
      <w:tr w:rsidR="001B0CD8" w:rsidRPr="002E16B2" w:rsidTr="003852BB">
        <w:tc>
          <w:tcPr>
            <w:tcW w:w="698" w:type="dxa"/>
          </w:tcPr>
          <w:p w:rsidR="001B0CD8" w:rsidRPr="002E16B2" w:rsidRDefault="001B0CD8" w:rsidP="00144423">
            <w:pPr>
              <w:jc w:val="center"/>
              <w:rPr>
                <w:color w:val="000000"/>
                <w:sz w:val="28"/>
                <w:szCs w:val="28"/>
              </w:rPr>
            </w:pPr>
            <w:r w:rsidRPr="002E16B2">
              <w:rPr>
                <w:color w:val="000000"/>
                <w:sz w:val="28"/>
                <w:szCs w:val="28"/>
              </w:rPr>
              <w:t>5.</w:t>
            </w:r>
          </w:p>
        </w:tc>
        <w:tc>
          <w:tcPr>
            <w:tcW w:w="7937" w:type="dxa"/>
          </w:tcPr>
          <w:p w:rsidR="001B0CD8" w:rsidRPr="00DC7EAA" w:rsidRDefault="001B0CD8" w:rsidP="00144423">
            <w:pPr>
              <w:jc w:val="both"/>
              <w:rPr>
                <w:color w:val="000000"/>
                <w:sz w:val="28"/>
                <w:szCs w:val="28"/>
              </w:rPr>
            </w:pPr>
            <w:r w:rsidRPr="00DC7EAA">
              <w:rPr>
                <w:color w:val="000000"/>
                <w:sz w:val="28"/>
                <w:szCs w:val="28"/>
              </w:rPr>
              <w:t>Перелік завдань Програми та результативні показники</w:t>
            </w:r>
          </w:p>
        </w:tc>
        <w:tc>
          <w:tcPr>
            <w:tcW w:w="971" w:type="dxa"/>
            <w:vAlign w:val="center"/>
          </w:tcPr>
          <w:p w:rsidR="001B0CD8" w:rsidRPr="009F17BB" w:rsidRDefault="003852BB" w:rsidP="00144423">
            <w:pPr>
              <w:jc w:val="center"/>
              <w:rPr>
                <w:color w:val="000000"/>
                <w:sz w:val="28"/>
                <w:szCs w:val="28"/>
              </w:rPr>
            </w:pPr>
            <w:r>
              <w:rPr>
                <w:color w:val="000000"/>
                <w:sz w:val="28"/>
                <w:szCs w:val="28"/>
              </w:rPr>
              <w:t>11</w:t>
            </w:r>
          </w:p>
        </w:tc>
      </w:tr>
      <w:tr w:rsidR="001B0CD8" w:rsidRPr="002E16B2" w:rsidTr="003852BB">
        <w:tc>
          <w:tcPr>
            <w:tcW w:w="698" w:type="dxa"/>
          </w:tcPr>
          <w:p w:rsidR="001B0CD8" w:rsidRPr="002E16B2" w:rsidRDefault="001B0CD8" w:rsidP="00144423">
            <w:pPr>
              <w:jc w:val="center"/>
              <w:rPr>
                <w:color w:val="000000"/>
                <w:sz w:val="16"/>
                <w:szCs w:val="16"/>
              </w:rPr>
            </w:pPr>
          </w:p>
        </w:tc>
        <w:tc>
          <w:tcPr>
            <w:tcW w:w="7937" w:type="dxa"/>
          </w:tcPr>
          <w:p w:rsidR="001B0CD8" w:rsidRPr="00DC7EAA" w:rsidRDefault="001B0CD8" w:rsidP="00144423">
            <w:pPr>
              <w:jc w:val="both"/>
              <w:rPr>
                <w:color w:val="000000"/>
                <w:sz w:val="16"/>
                <w:szCs w:val="16"/>
              </w:rPr>
            </w:pPr>
          </w:p>
        </w:tc>
        <w:tc>
          <w:tcPr>
            <w:tcW w:w="971" w:type="dxa"/>
            <w:vAlign w:val="center"/>
          </w:tcPr>
          <w:p w:rsidR="001B0CD8" w:rsidRPr="002E16B2" w:rsidRDefault="001B0CD8" w:rsidP="00144423">
            <w:pPr>
              <w:jc w:val="center"/>
              <w:rPr>
                <w:color w:val="000000"/>
                <w:sz w:val="16"/>
                <w:szCs w:val="16"/>
              </w:rPr>
            </w:pPr>
          </w:p>
        </w:tc>
      </w:tr>
      <w:tr w:rsidR="001B0CD8" w:rsidRPr="002E16B2" w:rsidTr="003852BB">
        <w:tc>
          <w:tcPr>
            <w:tcW w:w="698" w:type="dxa"/>
          </w:tcPr>
          <w:p w:rsidR="001B0CD8" w:rsidRPr="002E16B2" w:rsidRDefault="001B0CD8" w:rsidP="00144423">
            <w:pPr>
              <w:jc w:val="center"/>
              <w:rPr>
                <w:color w:val="000000"/>
                <w:sz w:val="28"/>
                <w:szCs w:val="28"/>
              </w:rPr>
            </w:pPr>
            <w:r w:rsidRPr="002E16B2">
              <w:rPr>
                <w:color w:val="000000"/>
                <w:sz w:val="28"/>
                <w:szCs w:val="28"/>
              </w:rPr>
              <w:t>6.</w:t>
            </w:r>
          </w:p>
        </w:tc>
        <w:tc>
          <w:tcPr>
            <w:tcW w:w="7937" w:type="dxa"/>
          </w:tcPr>
          <w:p w:rsidR="001B0CD8" w:rsidRPr="00DC7EAA" w:rsidRDefault="001B0CD8" w:rsidP="00144423">
            <w:pPr>
              <w:jc w:val="both"/>
              <w:rPr>
                <w:color w:val="000000"/>
                <w:sz w:val="28"/>
                <w:szCs w:val="28"/>
              </w:rPr>
            </w:pPr>
            <w:r w:rsidRPr="00DC7EAA">
              <w:rPr>
                <w:color w:val="000000"/>
                <w:sz w:val="28"/>
                <w:szCs w:val="28"/>
              </w:rPr>
              <w:t xml:space="preserve">Напрями діяльності та заходи Програми </w:t>
            </w:r>
          </w:p>
        </w:tc>
        <w:tc>
          <w:tcPr>
            <w:tcW w:w="971" w:type="dxa"/>
            <w:vAlign w:val="center"/>
          </w:tcPr>
          <w:p w:rsidR="001B0CD8" w:rsidRPr="009F17BB" w:rsidRDefault="003852BB" w:rsidP="00144423">
            <w:pPr>
              <w:jc w:val="center"/>
              <w:rPr>
                <w:color w:val="000000"/>
                <w:sz w:val="28"/>
                <w:szCs w:val="28"/>
              </w:rPr>
            </w:pPr>
            <w:r>
              <w:rPr>
                <w:color w:val="000000"/>
                <w:sz w:val="28"/>
                <w:szCs w:val="28"/>
              </w:rPr>
              <w:t>12</w:t>
            </w:r>
          </w:p>
        </w:tc>
      </w:tr>
      <w:tr w:rsidR="001B0CD8" w:rsidRPr="002E16B2" w:rsidTr="003852BB">
        <w:tc>
          <w:tcPr>
            <w:tcW w:w="698" w:type="dxa"/>
          </w:tcPr>
          <w:p w:rsidR="001B0CD8" w:rsidRPr="002E16B2" w:rsidRDefault="001B0CD8" w:rsidP="00144423">
            <w:pPr>
              <w:jc w:val="center"/>
              <w:rPr>
                <w:color w:val="000000"/>
                <w:sz w:val="16"/>
                <w:szCs w:val="16"/>
              </w:rPr>
            </w:pPr>
          </w:p>
        </w:tc>
        <w:tc>
          <w:tcPr>
            <w:tcW w:w="7937" w:type="dxa"/>
          </w:tcPr>
          <w:p w:rsidR="001B0CD8" w:rsidRPr="00DC7EAA" w:rsidRDefault="001B0CD8" w:rsidP="00144423">
            <w:pPr>
              <w:jc w:val="both"/>
              <w:rPr>
                <w:color w:val="000000"/>
                <w:sz w:val="16"/>
                <w:szCs w:val="16"/>
              </w:rPr>
            </w:pPr>
          </w:p>
        </w:tc>
        <w:tc>
          <w:tcPr>
            <w:tcW w:w="971" w:type="dxa"/>
            <w:vAlign w:val="center"/>
          </w:tcPr>
          <w:p w:rsidR="001B0CD8" w:rsidRPr="002E16B2" w:rsidRDefault="001B0CD8" w:rsidP="00144423">
            <w:pPr>
              <w:jc w:val="center"/>
              <w:rPr>
                <w:color w:val="000000"/>
                <w:sz w:val="16"/>
                <w:szCs w:val="16"/>
              </w:rPr>
            </w:pPr>
          </w:p>
        </w:tc>
      </w:tr>
      <w:tr w:rsidR="001B0CD8" w:rsidRPr="002E16B2" w:rsidTr="003852BB">
        <w:tc>
          <w:tcPr>
            <w:tcW w:w="698" w:type="dxa"/>
          </w:tcPr>
          <w:p w:rsidR="001B0CD8" w:rsidRPr="002E16B2" w:rsidRDefault="001B0CD8" w:rsidP="00144423">
            <w:pPr>
              <w:jc w:val="center"/>
              <w:rPr>
                <w:color w:val="000000"/>
                <w:sz w:val="28"/>
                <w:szCs w:val="28"/>
              </w:rPr>
            </w:pPr>
            <w:r w:rsidRPr="002E16B2">
              <w:rPr>
                <w:color w:val="000000"/>
                <w:sz w:val="28"/>
                <w:szCs w:val="28"/>
              </w:rPr>
              <w:t>7.</w:t>
            </w:r>
          </w:p>
        </w:tc>
        <w:tc>
          <w:tcPr>
            <w:tcW w:w="7937" w:type="dxa"/>
          </w:tcPr>
          <w:p w:rsidR="001B0CD8" w:rsidRPr="00DC7EAA" w:rsidRDefault="001B0CD8" w:rsidP="00144423">
            <w:pPr>
              <w:shd w:val="clear" w:color="auto" w:fill="FFFFFF"/>
              <w:jc w:val="both"/>
              <w:rPr>
                <w:color w:val="000000"/>
                <w:sz w:val="28"/>
                <w:szCs w:val="26"/>
              </w:rPr>
            </w:pPr>
            <w:r w:rsidRPr="00DC7EAA">
              <w:rPr>
                <w:color w:val="000000"/>
                <w:sz w:val="28"/>
                <w:szCs w:val="26"/>
              </w:rPr>
              <w:t xml:space="preserve">Координація та контроль за виконанням </w:t>
            </w:r>
            <w:r w:rsidRPr="00DC7EAA">
              <w:rPr>
                <w:color w:val="000000"/>
                <w:sz w:val="28"/>
                <w:szCs w:val="28"/>
              </w:rPr>
              <w:t>Програми</w:t>
            </w:r>
          </w:p>
        </w:tc>
        <w:tc>
          <w:tcPr>
            <w:tcW w:w="971" w:type="dxa"/>
            <w:vAlign w:val="center"/>
          </w:tcPr>
          <w:p w:rsidR="001B0CD8" w:rsidRPr="009F17BB" w:rsidRDefault="003852BB" w:rsidP="00144423">
            <w:pPr>
              <w:jc w:val="center"/>
              <w:rPr>
                <w:color w:val="000000"/>
                <w:sz w:val="28"/>
                <w:szCs w:val="28"/>
              </w:rPr>
            </w:pPr>
            <w:r>
              <w:rPr>
                <w:color w:val="000000"/>
                <w:sz w:val="28"/>
                <w:szCs w:val="28"/>
              </w:rPr>
              <w:t>12</w:t>
            </w:r>
          </w:p>
        </w:tc>
      </w:tr>
      <w:tr w:rsidR="001B0CD8" w:rsidRPr="002E16B2" w:rsidTr="003852BB">
        <w:tc>
          <w:tcPr>
            <w:tcW w:w="698" w:type="dxa"/>
          </w:tcPr>
          <w:p w:rsidR="001B0CD8" w:rsidRPr="002E16B2" w:rsidRDefault="001B0CD8" w:rsidP="00144423">
            <w:pPr>
              <w:jc w:val="center"/>
              <w:rPr>
                <w:color w:val="000000"/>
                <w:sz w:val="28"/>
                <w:szCs w:val="28"/>
              </w:rPr>
            </w:pPr>
          </w:p>
        </w:tc>
        <w:tc>
          <w:tcPr>
            <w:tcW w:w="7937" w:type="dxa"/>
          </w:tcPr>
          <w:p w:rsidR="001B0CD8" w:rsidRPr="00DC7EAA" w:rsidRDefault="001B0CD8" w:rsidP="00144423">
            <w:pPr>
              <w:shd w:val="clear" w:color="auto" w:fill="FFFFFF"/>
              <w:jc w:val="both"/>
              <w:rPr>
                <w:color w:val="000000"/>
                <w:sz w:val="28"/>
                <w:szCs w:val="26"/>
              </w:rPr>
            </w:pPr>
          </w:p>
        </w:tc>
        <w:tc>
          <w:tcPr>
            <w:tcW w:w="971" w:type="dxa"/>
            <w:vAlign w:val="center"/>
          </w:tcPr>
          <w:p w:rsidR="001B0CD8" w:rsidRPr="002E16B2" w:rsidRDefault="001B0CD8" w:rsidP="00144423">
            <w:pPr>
              <w:jc w:val="center"/>
              <w:rPr>
                <w:color w:val="000000"/>
                <w:sz w:val="28"/>
                <w:szCs w:val="28"/>
              </w:rPr>
            </w:pPr>
          </w:p>
        </w:tc>
      </w:tr>
      <w:tr w:rsidR="001B0CD8" w:rsidRPr="002E16B2" w:rsidTr="003852BB">
        <w:tc>
          <w:tcPr>
            <w:tcW w:w="698" w:type="dxa"/>
            <w:vAlign w:val="center"/>
          </w:tcPr>
          <w:p w:rsidR="001B0CD8" w:rsidRPr="002E16B2" w:rsidRDefault="001B0CD8" w:rsidP="00144423">
            <w:pPr>
              <w:jc w:val="center"/>
              <w:rPr>
                <w:color w:val="000000"/>
                <w:sz w:val="28"/>
                <w:szCs w:val="28"/>
              </w:rPr>
            </w:pPr>
          </w:p>
        </w:tc>
        <w:tc>
          <w:tcPr>
            <w:tcW w:w="7937" w:type="dxa"/>
          </w:tcPr>
          <w:p w:rsidR="001B0CD8" w:rsidRPr="00B974C3" w:rsidRDefault="001B0CD8" w:rsidP="00144423">
            <w:pPr>
              <w:shd w:val="clear" w:color="auto" w:fill="FFFFFF"/>
              <w:jc w:val="both"/>
              <w:rPr>
                <w:color w:val="FF0000"/>
                <w:sz w:val="28"/>
                <w:szCs w:val="26"/>
              </w:rPr>
            </w:pPr>
          </w:p>
        </w:tc>
        <w:tc>
          <w:tcPr>
            <w:tcW w:w="971" w:type="dxa"/>
            <w:vAlign w:val="center"/>
          </w:tcPr>
          <w:p w:rsidR="001B0CD8" w:rsidRPr="002E16B2" w:rsidRDefault="001B0CD8" w:rsidP="00144423">
            <w:pPr>
              <w:jc w:val="center"/>
              <w:rPr>
                <w:color w:val="000000"/>
                <w:sz w:val="28"/>
                <w:szCs w:val="28"/>
              </w:rPr>
            </w:pPr>
          </w:p>
        </w:tc>
      </w:tr>
      <w:tr w:rsidR="001B0CD8" w:rsidRPr="002E16B2" w:rsidTr="003852BB">
        <w:tc>
          <w:tcPr>
            <w:tcW w:w="698" w:type="dxa"/>
            <w:vAlign w:val="center"/>
          </w:tcPr>
          <w:p w:rsidR="001B0CD8" w:rsidRPr="002E16B2" w:rsidRDefault="001B0CD8" w:rsidP="00144423">
            <w:pPr>
              <w:jc w:val="center"/>
              <w:rPr>
                <w:color w:val="000000"/>
                <w:sz w:val="28"/>
                <w:szCs w:val="28"/>
              </w:rPr>
            </w:pPr>
          </w:p>
        </w:tc>
        <w:tc>
          <w:tcPr>
            <w:tcW w:w="7937" w:type="dxa"/>
          </w:tcPr>
          <w:p w:rsidR="001B0CD8" w:rsidRPr="00DC7EAA" w:rsidRDefault="001B0CD8" w:rsidP="00144423">
            <w:pPr>
              <w:shd w:val="clear" w:color="auto" w:fill="FFFFFF"/>
              <w:jc w:val="both"/>
              <w:rPr>
                <w:color w:val="000000"/>
                <w:sz w:val="28"/>
                <w:szCs w:val="28"/>
              </w:rPr>
            </w:pPr>
            <w:r w:rsidRPr="006C5A0C">
              <w:rPr>
                <w:color w:val="000000"/>
                <w:sz w:val="28"/>
                <w:szCs w:val="26"/>
              </w:rPr>
              <w:t>Д</w:t>
            </w:r>
            <w:r w:rsidRPr="006C5A0C">
              <w:rPr>
                <w:b/>
                <w:color w:val="000000"/>
                <w:sz w:val="28"/>
                <w:szCs w:val="26"/>
              </w:rPr>
              <w:t>одаток 1.</w:t>
            </w:r>
            <w:r w:rsidRPr="006C5A0C">
              <w:rPr>
                <w:color w:val="000000"/>
                <w:sz w:val="28"/>
              </w:rPr>
              <w:t xml:space="preserve">Результативні показники </w:t>
            </w:r>
            <w:r w:rsidRPr="00DC7EAA">
              <w:rPr>
                <w:color w:val="000000"/>
                <w:sz w:val="28"/>
                <w:szCs w:val="28"/>
              </w:rPr>
              <w:t>Програми розвитку інвестиційної діяльності в місті Чернівцях на 2020-2023 роки.</w:t>
            </w:r>
          </w:p>
          <w:p w:rsidR="001B0CD8" w:rsidRPr="006C5A0C" w:rsidRDefault="001B0CD8" w:rsidP="00144423">
            <w:pPr>
              <w:shd w:val="clear" w:color="auto" w:fill="FFFFFF"/>
              <w:jc w:val="both"/>
              <w:rPr>
                <w:color w:val="000000"/>
                <w:sz w:val="28"/>
                <w:szCs w:val="26"/>
              </w:rPr>
            </w:pPr>
          </w:p>
        </w:tc>
        <w:tc>
          <w:tcPr>
            <w:tcW w:w="971" w:type="dxa"/>
            <w:vAlign w:val="center"/>
          </w:tcPr>
          <w:p w:rsidR="001B0CD8" w:rsidRPr="002E16B2" w:rsidRDefault="001B0CD8" w:rsidP="00144423">
            <w:pPr>
              <w:jc w:val="center"/>
              <w:rPr>
                <w:color w:val="000000"/>
                <w:sz w:val="28"/>
                <w:szCs w:val="28"/>
              </w:rPr>
            </w:pPr>
          </w:p>
        </w:tc>
      </w:tr>
      <w:tr w:rsidR="001B0CD8" w:rsidRPr="002E16B2" w:rsidTr="003852BB">
        <w:tc>
          <w:tcPr>
            <w:tcW w:w="698" w:type="dxa"/>
            <w:vAlign w:val="center"/>
          </w:tcPr>
          <w:p w:rsidR="001B0CD8" w:rsidRPr="002E16B2" w:rsidRDefault="001B0CD8" w:rsidP="00144423">
            <w:pPr>
              <w:jc w:val="center"/>
              <w:rPr>
                <w:color w:val="000000"/>
                <w:sz w:val="28"/>
                <w:szCs w:val="28"/>
              </w:rPr>
            </w:pPr>
          </w:p>
        </w:tc>
        <w:tc>
          <w:tcPr>
            <w:tcW w:w="7937" w:type="dxa"/>
          </w:tcPr>
          <w:p w:rsidR="001B0CD8" w:rsidRPr="006C5A0C" w:rsidRDefault="001B0CD8" w:rsidP="00144423">
            <w:pPr>
              <w:shd w:val="clear" w:color="auto" w:fill="FFFFFF"/>
              <w:jc w:val="both"/>
              <w:rPr>
                <w:color w:val="000000"/>
                <w:sz w:val="28"/>
                <w:szCs w:val="26"/>
              </w:rPr>
            </w:pPr>
          </w:p>
        </w:tc>
        <w:tc>
          <w:tcPr>
            <w:tcW w:w="971" w:type="dxa"/>
            <w:vAlign w:val="center"/>
          </w:tcPr>
          <w:p w:rsidR="001B0CD8" w:rsidRPr="002E16B2" w:rsidRDefault="001B0CD8" w:rsidP="00144423">
            <w:pPr>
              <w:jc w:val="center"/>
              <w:rPr>
                <w:color w:val="000000"/>
                <w:sz w:val="28"/>
                <w:szCs w:val="28"/>
              </w:rPr>
            </w:pPr>
          </w:p>
        </w:tc>
      </w:tr>
      <w:tr w:rsidR="001B0CD8" w:rsidRPr="002E16B2" w:rsidTr="003852BB">
        <w:tc>
          <w:tcPr>
            <w:tcW w:w="698" w:type="dxa"/>
            <w:vAlign w:val="center"/>
          </w:tcPr>
          <w:p w:rsidR="001B0CD8" w:rsidRPr="002E16B2" w:rsidRDefault="001B0CD8" w:rsidP="00144423">
            <w:pPr>
              <w:jc w:val="center"/>
              <w:rPr>
                <w:color w:val="000000"/>
                <w:sz w:val="28"/>
                <w:szCs w:val="28"/>
              </w:rPr>
            </w:pPr>
          </w:p>
        </w:tc>
        <w:tc>
          <w:tcPr>
            <w:tcW w:w="7937" w:type="dxa"/>
          </w:tcPr>
          <w:p w:rsidR="001B0CD8" w:rsidRPr="00DC7EAA" w:rsidRDefault="001B0CD8" w:rsidP="00144423">
            <w:pPr>
              <w:shd w:val="clear" w:color="auto" w:fill="FFFFFF"/>
              <w:jc w:val="both"/>
              <w:rPr>
                <w:color w:val="000000"/>
                <w:sz w:val="28"/>
                <w:szCs w:val="28"/>
              </w:rPr>
            </w:pPr>
            <w:r w:rsidRPr="006C5A0C">
              <w:rPr>
                <w:b/>
                <w:color w:val="000000"/>
                <w:sz w:val="28"/>
                <w:szCs w:val="26"/>
              </w:rPr>
              <w:t>Додаток 2.</w:t>
            </w:r>
            <w:r w:rsidRPr="006C5A0C">
              <w:rPr>
                <w:color w:val="000000"/>
                <w:sz w:val="28"/>
                <w:szCs w:val="26"/>
              </w:rPr>
              <w:t xml:space="preserve">Напрями діяльності  </w:t>
            </w:r>
            <w:r w:rsidRPr="00DC7EAA">
              <w:rPr>
                <w:color w:val="000000"/>
                <w:sz w:val="28"/>
                <w:szCs w:val="26"/>
              </w:rPr>
              <w:t xml:space="preserve">та заходи </w:t>
            </w:r>
            <w:r w:rsidRPr="00DC7EAA">
              <w:rPr>
                <w:color w:val="000000"/>
                <w:sz w:val="28"/>
                <w:szCs w:val="28"/>
              </w:rPr>
              <w:t>Програми розвитку інвестиційної діяльності в місті Чернівцях на 2020-2023 роки.</w:t>
            </w:r>
          </w:p>
          <w:p w:rsidR="001B0CD8" w:rsidRPr="006C5A0C" w:rsidRDefault="001B0CD8" w:rsidP="00144423">
            <w:pPr>
              <w:shd w:val="clear" w:color="auto" w:fill="FFFFFF"/>
              <w:jc w:val="both"/>
              <w:rPr>
                <w:color w:val="000000"/>
                <w:sz w:val="28"/>
                <w:szCs w:val="26"/>
              </w:rPr>
            </w:pPr>
          </w:p>
        </w:tc>
        <w:tc>
          <w:tcPr>
            <w:tcW w:w="971" w:type="dxa"/>
            <w:vAlign w:val="center"/>
          </w:tcPr>
          <w:p w:rsidR="001B0CD8" w:rsidRPr="002E16B2" w:rsidRDefault="001B0CD8" w:rsidP="00144423">
            <w:pPr>
              <w:jc w:val="center"/>
              <w:rPr>
                <w:color w:val="000000"/>
                <w:sz w:val="28"/>
                <w:szCs w:val="28"/>
              </w:rPr>
            </w:pPr>
          </w:p>
        </w:tc>
      </w:tr>
      <w:tr w:rsidR="001B0CD8" w:rsidRPr="002E16B2" w:rsidTr="003852BB">
        <w:tc>
          <w:tcPr>
            <w:tcW w:w="698" w:type="dxa"/>
            <w:vAlign w:val="center"/>
          </w:tcPr>
          <w:p w:rsidR="001B0CD8" w:rsidRPr="002E16B2" w:rsidRDefault="001B0CD8" w:rsidP="00144423">
            <w:pPr>
              <w:jc w:val="center"/>
              <w:rPr>
                <w:color w:val="000000"/>
                <w:sz w:val="28"/>
                <w:szCs w:val="28"/>
              </w:rPr>
            </w:pPr>
          </w:p>
        </w:tc>
        <w:tc>
          <w:tcPr>
            <w:tcW w:w="7937" w:type="dxa"/>
          </w:tcPr>
          <w:p w:rsidR="001B0CD8" w:rsidRPr="002E16B2" w:rsidRDefault="001B0CD8" w:rsidP="00144423">
            <w:pPr>
              <w:shd w:val="clear" w:color="auto" w:fill="FFFFFF"/>
              <w:jc w:val="both"/>
              <w:rPr>
                <w:color w:val="000000"/>
                <w:sz w:val="28"/>
                <w:szCs w:val="26"/>
              </w:rPr>
            </w:pPr>
          </w:p>
        </w:tc>
        <w:tc>
          <w:tcPr>
            <w:tcW w:w="971" w:type="dxa"/>
            <w:vAlign w:val="center"/>
          </w:tcPr>
          <w:p w:rsidR="001B0CD8" w:rsidRPr="002E16B2" w:rsidRDefault="001B0CD8" w:rsidP="00144423">
            <w:pPr>
              <w:jc w:val="center"/>
              <w:rPr>
                <w:color w:val="000000"/>
                <w:sz w:val="28"/>
                <w:szCs w:val="28"/>
              </w:rPr>
            </w:pPr>
          </w:p>
        </w:tc>
      </w:tr>
    </w:tbl>
    <w:p w:rsidR="001B0CD8" w:rsidRDefault="001B0CD8" w:rsidP="001B0CD8">
      <w:pPr>
        <w:ind w:firstLine="708"/>
        <w:jc w:val="both"/>
        <w:rPr>
          <w:bCs/>
          <w:sz w:val="28"/>
          <w:szCs w:val="28"/>
        </w:rPr>
      </w:pPr>
    </w:p>
    <w:p w:rsidR="001B0CD8" w:rsidRPr="004F2B07" w:rsidRDefault="001B0CD8" w:rsidP="001B0CD8">
      <w:pPr>
        <w:rPr>
          <w:bCs/>
          <w:color w:val="FF0000"/>
          <w:sz w:val="28"/>
          <w:szCs w:val="28"/>
        </w:rPr>
      </w:pPr>
    </w:p>
    <w:p w:rsidR="001B0CD8" w:rsidRPr="005C3FB8" w:rsidRDefault="001B0CD8" w:rsidP="001B0CD8">
      <w:pPr>
        <w:jc w:val="both"/>
        <w:rPr>
          <w:color w:val="008000"/>
          <w:sz w:val="28"/>
          <w:szCs w:val="28"/>
        </w:rPr>
      </w:pPr>
    </w:p>
    <w:p w:rsidR="001B0CD8" w:rsidRPr="005C3FB8" w:rsidRDefault="001B0CD8" w:rsidP="001B0CD8">
      <w:pPr>
        <w:jc w:val="both"/>
        <w:rPr>
          <w:b/>
          <w:bCs/>
          <w:color w:val="008000"/>
          <w:sz w:val="24"/>
          <w:szCs w:val="24"/>
        </w:rPr>
      </w:pPr>
    </w:p>
    <w:p w:rsidR="001B0CD8" w:rsidRDefault="001B0CD8" w:rsidP="001B0CD8">
      <w:pPr>
        <w:ind w:firstLine="708"/>
        <w:jc w:val="center"/>
        <w:rPr>
          <w:b/>
          <w:bCs/>
          <w:sz w:val="28"/>
          <w:szCs w:val="28"/>
        </w:rPr>
      </w:pPr>
    </w:p>
    <w:p w:rsidR="001B0CD8" w:rsidRPr="0040482C" w:rsidRDefault="001B0CD8" w:rsidP="001B0CD8">
      <w:pPr>
        <w:ind w:left="2124" w:firstLine="708"/>
        <w:rPr>
          <w:sz w:val="28"/>
          <w:szCs w:val="28"/>
        </w:rPr>
        <w:sectPr w:rsidR="001B0CD8" w:rsidRPr="0040482C" w:rsidSect="005A3FD1">
          <w:headerReference w:type="even" r:id="rId6"/>
          <w:headerReference w:type="default" r:id="rId7"/>
          <w:pgSz w:w="11906" w:h="16838"/>
          <w:pgMar w:top="1134" w:right="851" w:bottom="1134" w:left="1701" w:header="1134" w:footer="1134" w:gutter="0"/>
          <w:pgNumType w:start="3"/>
          <w:cols w:space="720"/>
          <w:titlePg/>
          <w:docGrid w:linePitch="360"/>
        </w:sect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6"/>
      </w:tblGrid>
      <w:tr w:rsidR="001B0CD8" w:rsidRPr="00C526AD" w:rsidTr="00144423">
        <w:trPr>
          <w:trHeight w:val="1226"/>
        </w:trPr>
        <w:tc>
          <w:tcPr>
            <w:tcW w:w="9566" w:type="dxa"/>
            <w:tcBorders>
              <w:top w:val="nil"/>
              <w:left w:val="nil"/>
              <w:right w:val="nil"/>
            </w:tcBorders>
          </w:tcPr>
          <w:p w:rsidR="001B0CD8" w:rsidRPr="00E4217F" w:rsidRDefault="001B0CD8" w:rsidP="00144423">
            <w:pPr>
              <w:jc w:val="center"/>
              <w:rPr>
                <w:b/>
                <w:sz w:val="28"/>
                <w:szCs w:val="28"/>
              </w:rPr>
            </w:pPr>
            <w:r>
              <w:rPr>
                <w:b/>
                <w:sz w:val="28"/>
                <w:szCs w:val="28"/>
              </w:rPr>
              <w:lastRenderedPageBreak/>
              <w:t>1.</w:t>
            </w:r>
            <w:r w:rsidRPr="00E4217F">
              <w:rPr>
                <w:b/>
                <w:sz w:val="28"/>
                <w:szCs w:val="28"/>
              </w:rPr>
              <w:t>ПАСПОРТ</w:t>
            </w:r>
          </w:p>
          <w:p w:rsidR="001B0CD8" w:rsidRDefault="001B0CD8" w:rsidP="00144423">
            <w:pPr>
              <w:jc w:val="center"/>
              <w:rPr>
                <w:b/>
                <w:sz w:val="28"/>
                <w:szCs w:val="28"/>
              </w:rPr>
            </w:pPr>
            <w:r w:rsidRPr="00E4217F">
              <w:rPr>
                <w:b/>
                <w:sz w:val="28"/>
                <w:szCs w:val="28"/>
              </w:rPr>
              <w:t>Програми</w:t>
            </w:r>
            <w:r>
              <w:rPr>
                <w:b/>
                <w:sz w:val="28"/>
                <w:szCs w:val="28"/>
              </w:rPr>
              <w:t xml:space="preserve"> інвестиційної діяльності </w:t>
            </w:r>
          </w:p>
          <w:p w:rsidR="001B0CD8" w:rsidRPr="00C526AD" w:rsidRDefault="001B0CD8" w:rsidP="00144423">
            <w:pPr>
              <w:jc w:val="center"/>
              <w:rPr>
                <w:spacing w:val="-3"/>
                <w:sz w:val="28"/>
                <w:szCs w:val="28"/>
              </w:rPr>
            </w:pPr>
            <w:r>
              <w:rPr>
                <w:b/>
                <w:sz w:val="28"/>
                <w:szCs w:val="28"/>
              </w:rPr>
              <w:t>в місті Чернівцях на 2020-2023 роки</w:t>
            </w:r>
          </w:p>
        </w:tc>
      </w:tr>
    </w:tbl>
    <w:p w:rsidR="001B0CD8" w:rsidRPr="00C526AD" w:rsidRDefault="001B0CD8" w:rsidP="001B0CD8">
      <w:pPr>
        <w:shd w:val="clear" w:color="auto" w:fill="FFFFFF"/>
        <w:ind w:right="-54"/>
        <w:jc w:val="center"/>
        <w:rPr>
          <w:spacing w:val="-3"/>
          <w:sz w:val="22"/>
          <w:szCs w:val="22"/>
        </w:rPr>
      </w:pPr>
    </w:p>
    <w:p w:rsidR="001B0CD8" w:rsidRPr="00C526AD" w:rsidRDefault="001B0CD8" w:rsidP="001B0CD8">
      <w:pPr>
        <w:shd w:val="clear" w:color="auto" w:fill="FFFFFF"/>
        <w:ind w:right="-54"/>
        <w:jc w:val="center"/>
        <w:rPr>
          <w:sz w:val="28"/>
          <w:szCs w:val="28"/>
        </w:rPr>
      </w:pPr>
    </w:p>
    <w:tbl>
      <w:tblPr>
        <w:tblW w:w="9552" w:type="dxa"/>
        <w:tblInd w:w="195" w:type="dxa"/>
        <w:tblLook w:val="0000" w:firstRow="0" w:lastRow="0" w:firstColumn="0" w:lastColumn="0" w:noHBand="0" w:noVBand="0"/>
      </w:tblPr>
      <w:tblGrid>
        <w:gridCol w:w="495"/>
        <w:gridCol w:w="2820"/>
        <w:gridCol w:w="6237"/>
      </w:tblGrid>
      <w:tr w:rsidR="001B0CD8" w:rsidRPr="00690961" w:rsidTr="00144423">
        <w:trPr>
          <w:trHeight w:val="251"/>
        </w:trPr>
        <w:tc>
          <w:tcPr>
            <w:tcW w:w="495" w:type="dxa"/>
            <w:tcBorders>
              <w:top w:val="single" w:sz="4" w:space="0" w:color="auto"/>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jc w:val="center"/>
              <w:rPr>
                <w:b/>
                <w:sz w:val="24"/>
                <w:szCs w:val="24"/>
              </w:rPr>
            </w:pPr>
            <w:r w:rsidRPr="00690961">
              <w:rPr>
                <w:b/>
                <w:sz w:val="24"/>
                <w:szCs w:val="24"/>
              </w:rPr>
              <w:t>1.</w:t>
            </w:r>
          </w:p>
        </w:tc>
        <w:tc>
          <w:tcPr>
            <w:tcW w:w="2820" w:type="dxa"/>
            <w:tcBorders>
              <w:top w:val="single" w:sz="4" w:space="0" w:color="auto"/>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jc w:val="both"/>
              <w:rPr>
                <w:b/>
                <w:sz w:val="24"/>
                <w:szCs w:val="24"/>
              </w:rPr>
            </w:pPr>
            <w:r w:rsidRPr="00690961">
              <w:rPr>
                <w:b/>
                <w:spacing w:val="-6"/>
                <w:sz w:val="24"/>
                <w:szCs w:val="24"/>
              </w:rPr>
              <w:t>Ініціатор розроблення Програми</w:t>
            </w:r>
          </w:p>
        </w:tc>
        <w:tc>
          <w:tcPr>
            <w:tcW w:w="6237" w:type="dxa"/>
            <w:tcBorders>
              <w:top w:val="single" w:sz="4" w:space="0" w:color="auto"/>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rPr>
                <w:sz w:val="24"/>
                <w:szCs w:val="24"/>
              </w:rPr>
            </w:pPr>
            <w:r w:rsidRPr="00690961">
              <w:rPr>
                <w:sz w:val="24"/>
                <w:szCs w:val="24"/>
              </w:rPr>
              <w:t xml:space="preserve">Департамент </w:t>
            </w:r>
            <w:r>
              <w:rPr>
                <w:sz w:val="24"/>
                <w:szCs w:val="24"/>
              </w:rPr>
              <w:t>розвитку Чернівецької міської ради</w:t>
            </w:r>
          </w:p>
        </w:tc>
      </w:tr>
      <w:tr w:rsidR="001B0CD8" w:rsidRPr="00690961" w:rsidTr="00144423">
        <w:trPr>
          <w:trHeight w:val="251"/>
        </w:trPr>
        <w:tc>
          <w:tcPr>
            <w:tcW w:w="495" w:type="dxa"/>
            <w:tcBorders>
              <w:top w:val="single" w:sz="4" w:space="0" w:color="auto"/>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jc w:val="center"/>
              <w:rPr>
                <w:b/>
                <w:sz w:val="24"/>
                <w:szCs w:val="24"/>
              </w:rPr>
            </w:pPr>
            <w:r w:rsidRPr="00690961">
              <w:rPr>
                <w:b/>
                <w:sz w:val="24"/>
                <w:szCs w:val="24"/>
              </w:rPr>
              <w:t>2.</w:t>
            </w:r>
          </w:p>
        </w:tc>
        <w:tc>
          <w:tcPr>
            <w:tcW w:w="2820" w:type="dxa"/>
            <w:tcBorders>
              <w:top w:val="single" w:sz="4" w:space="0" w:color="auto"/>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jc w:val="both"/>
              <w:rPr>
                <w:b/>
                <w:spacing w:val="-6"/>
                <w:sz w:val="24"/>
                <w:szCs w:val="24"/>
              </w:rPr>
            </w:pPr>
            <w:r w:rsidRPr="00690961">
              <w:rPr>
                <w:b/>
                <w:spacing w:val="-5"/>
                <w:sz w:val="24"/>
                <w:szCs w:val="24"/>
              </w:rPr>
              <w:t>Дата, номер і назва нормативних документів</w:t>
            </w:r>
          </w:p>
          <w:p w:rsidR="001B0CD8" w:rsidRPr="00690961" w:rsidRDefault="001B0CD8" w:rsidP="00144423">
            <w:pPr>
              <w:shd w:val="clear" w:color="auto" w:fill="FFFFFF"/>
              <w:ind w:left="-87" w:right="-54"/>
              <w:jc w:val="both"/>
              <w:rPr>
                <w:b/>
                <w:spacing w:val="-6"/>
                <w:sz w:val="24"/>
                <w:szCs w:val="24"/>
              </w:rPr>
            </w:pPr>
          </w:p>
        </w:tc>
        <w:tc>
          <w:tcPr>
            <w:tcW w:w="6237" w:type="dxa"/>
            <w:tcBorders>
              <w:top w:val="single" w:sz="4" w:space="0" w:color="auto"/>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jc w:val="both"/>
              <w:rPr>
                <w:color w:val="FF0000"/>
                <w:sz w:val="24"/>
                <w:szCs w:val="24"/>
              </w:rPr>
            </w:pPr>
            <w:r w:rsidRPr="00690961">
              <w:rPr>
                <w:rFonts w:ascii="Times New Roman" w:hAnsi="Times New Roman"/>
                <w:color w:val="000000"/>
                <w:sz w:val="24"/>
                <w:szCs w:val="24"/>
              </w:rPr>
              <w:t>Закон</w:t>
            </w:r>
            <w:r>
              <w:rPr>
                <w:rFonts w:ascii="Times New Roman" w:hAnsi="Times New Roman"/>
                <w:color w:val="000000"/>
                <w:sz w:val="24"/>
                <w:szCs w:val="24"/>
              </w:rPr>
              <w:t>и</w:t>
            </w:r>
            <w:r w:rsidRPr="00690961">
              <w:rPr>
                <w:rFonts w:ascii="Times New Roman" w:hAnsi="Times New Roman"/>
                <w:sz w:val="24"/>
                <w:szCs w:val="24"/>
              </w:rPr>
              <w:t xml:space="preserve"> України</w:t>
            </w:r>
            <w:r w:rsidRPr="00690961">
              <w:rPr>
                <w:rFonts w:ascii="Times New Roman" w:hAnsi="Times New Roman"/>
                <w:color w:val="292B2C"/>
                <w:sz w:val="24"/>
                <w:szCs w:val="24"/>
                <w:shd w:val="clear" w:color="auto" w:fill="ECEEEF"/>
              </w:rPr>
              <w:t> </w:t>
            </w:r>
            <w:r w:rsidRPr="00690961">
              <w:rPr>
                <w:rFonts w:ascii="Times New Roman" w:hAnsi="Times New Roman"/>
                <w:color w:val="000000"/>
                <w:sz w:val="24"/>
                <w:szCs w:val="24"/>
              </w:rPr>
              <w:t xml:space="preserve"> </w:t>
            </w:r>
            <w:r w:rsidRPr="00690961">
              <w:rPr>
                <w:rFonts w:ascii="Times New Roman" w:hAnsi="Times New Roman"/>
                <w:sz w:val="24"/>
                <w:szCs w:val="24"/>
              </w:rPr>
              <w:t>«Про місцеве самоврядування в Україні»</w:t>
            </w:r>
            <w:r>
              <w:rPr>
                <w:rFonts w:ascii="Times New Roman" w:hAnsi="Times New Roman"/>
                <w:sz w:val="24"/>
                <w:szCs w:val="24"/>
              </w:rPr>
              <w:t>,</w:t>
            </w:r>
            <w:r w:rsidRPr="00690961">
              <w:rPr>
                <w:rFonts w:ascii="Times New Roman" w:hAnsi="Times New Roman"/>
                <w:sz w:val="24"/>
                <w:szCs w:val="24"/>
              </w:rPr>
              <w:t xml:space="preserve"> </w:t>
            </w:r>
            <w:r w:rsidRPr="00555060">
              <w:rPr>
                <w:sz w:val="24"/>
                <w:szCs w:val="24"/>
              </w:rPr>
              <w:t xml:space="preserve"> </w:t>
            </w:r>
            <w:r w:rsidRPr="00555060">
              <w:rPr>
                <w:sz w:val="24"/>
                <w:szCs w:val="24"/>
              </w:rPr>
              <w:br/>
              <w:t>«Про інвестиційну діяльність», «Про режим іноземного інвестування», «Про захист іноземних інвестицій на Україні», «Про зовнішньоекономічну діяльність»</w:t>
            </w:r>
            <w:r>
              <w:rPr>
                <w:sz w:val="24"/>
                <w:szCs w:val="24"/>
              </w:rPr>
              <w:t>, розпорядження Чернівецького міського голові від 24.10.2019р. № 446-р «Про організ</w:t>
            </w:r>
            <w:r w:rsidR="003852BB">
              <w:rPr>
                <w:sz w:val="24"/>
                <w:szCs w:val="24"/>
              </w:rPr>
              <w:t xml:space="preserve">ацію розробки Програми </w:t>
            </w:r>
            <w:r>
              <w:rPr>
                <w:sz w:val="24"/>
                <w:szCs w:val="24"/>
              </w:rPr>
              <w:t>інвестиційної діяльності в місті Чернівцях на 2020-2023 роки»</w:t>
            </w:r>
          </w:p>
        </w:tc>
      </w:tr>
      <w:tr w:rsidR="001B0CD8" w:rsidRPr="00690961" w:rsidTr="00144423">
        <w:trPr>
          <w:trHeight w:val="251"/>
        </w:trPr>
        <w:tc>
          <w:tcPr>
            <w:tcW w:w="495" w:type="dxa"/>
            <w:tcBorders>
              <w:top w:val="single" w:sz="4" w:space="0" w:color="auto"/>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jc w:val="center"/>
              <w:rPr>
                <w:b/>
                <w:sz w:val="24"/>
                <w:szCs w:val="24"/>
              </w:rPr>
            </w:pPr>
            <w:r w:rsidRPr="00690961">
              <w:rPr>
                <w:b/>
                <w:sz w:val="24"/>
                <w:szCs w:val="24"/>
              </w:rPr>
              <w:t>3.</w:t>
            </w:r>
          </w:p>
        </w:tc>
        <w:tc>
          <w:tcPr>
            <w:tcW w:w="2820" w:type="dxa"/>
            <w:tcBorders>
              <w:top w:val="single" w:sz="4" w:space="0" w:color="auto"/>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jc w:val="both"/>
              <w:rPr>
                <w:b/>
                <w:spacing w:val="-7"/>
                <w:sz w:val="24"/>
                <w:szCs w:val="24"/>
              </w:rPr>
            </w:pPr>
            <w:r w:rsidRPr="00690961">
              <w:rPr>
                <w:b/>
                <w:spacing w:val="-7"/>
                <w:sz w:val="24"/>
                <w:szCs w:val="24"/>
              </w:rPr>
              <w:t>Розробник Програми</w:t>
            </w:r>
          </w:p>
          <w:p w:rsidR="001B0CD8" w:rsidRPr="00690961" w:rsidRDefault="001B0CD8" w:rsidP="00144423">
            <w:pPr>
              <w:shd w:val="clear" w:color="auto" w:fill="FFFFFF"/>
              <w:ind w:left="-87" w:right="-54"/>
              <w:jc w:val="both"/>
              <w:rPr>
                <w:b/>
                <w:spacing w:val="-6"/>
                <w:sz w:val="24"/>
                <w:szCs w:val="24"/>
              </w:rPr>
            </w:pPr>
          </w:p>
        </w:tc>
        <w:tc>
          <w:tcPr>
            <w:tcW w:w="6237" w:type="dxa"/>
            <w:tcBorders>
              <w:top w:val="single" w:sz="4" w:space="0" w:color="auto"/>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jc w:val="both"/>
              <w:rPr>
                <w:sz w:val="24"/>
                <w:szCs w:val="24"/>
              </w:rPr>
            </w:pPr>
            <w:r w:rsidRPr="00690961">
              <w:rPr>
                <w:sz w:val="24"/>
                <w:szCs w:val="24"/>
              </w:rPr>
              <w:t>Департамент</w:t>
            </w:r>
            <w:r>
              <w:rPr>
                <w:sz w:val="24"/>
                <w:szCs w:val="24"/>
              </w:rPr>
              <w:t xml:space="preserve"> розвитку Чернівецької міської ради</w:t>
            </w:r>
          </w:p>
        </w:tc>
      </w:tr>
      <w:tr w:rsidR="001B0CD8" w:rsidRPr="00690961" w:rsidTr="00144423">
        <w:trPr>
          <w:trHeight w:val="251"/>
        </w:trPr>
        <w:tc>
          <w:tcPr>
            <w:tcW w:w="495" w:type="dxa"/>
            <w:tcBorders>
              <w:top w:val="single" w:sz="4" w:space="0" w:color="auto"/>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jc w:val="center"/>
              <w:rPr>
                <w:b/>
                <w:sz w:val="24"/>
                <w:szCs w:val="24"/>
              </w:rPr>
            </w:pPr>
            <w:r>
              <w:rPr>
                <w:b/>
                <w:sz w:val="24"/>
                <w:szCs w:val="24"/>
              </w:rPr>
              <w:t>4.</w:t>
            </w:r>
          </w:p>
        </w:tc>
        <w:tc>
          <w:tcPr>
            <w:tcW w:w="2820" w:type="dxa"/>
            <w:tcBorders>
              <w:top w:val="single" w:sz="4" w:space="0" w:color="auto"/>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jc w:val="both"/>
              <w:rPr>
                <w:b/>
                <w:spacing w:val="-7"/>
                <w:sz w:val="24"/>
                <w:szCs w:val="24"/>
              </w:rPr>
            </w:pPr>
            <w:r>
              <w:rPr>
                <w:b/>
                <w:spacing w:val="-7"/>
                <w:sz w:val="24"/>
                <w:szCs w:val="24"/>
              </w:rPr>
              <w:t>Співрозробники Програми</w:t>
            </w:r>
          </w:p>
        </w:tc>
        <w:tc>
          <w:tcPr>
            <w:tcW w:w="6237" w:type="dxa"/>
            <w:tcBorders>
              <w:top w:val="single" w:sz="4" w:space="0" w:color="auto"/>
              <w:left w:val="single" w:sz="4" w:space="0" w:color="auto"/>
              <w:bottom w:val="single" w:sz="4" w:space="0" w:color="auto"/>
              <w:right w:val="single" w:sz="4" w:space="0" w:color="auto"/>
            </w:tcBorders>
          </w:tcPr>
          <w:p w:rsidR="001B0CD8" w:rsidRPr="00800EB4" w:rsidRDefault="001B0CD8" w:rsidP="00144423">
            <w:pPr>
              <w:shd w:val="clear" w:color="auto" w:fill="FFFFFF"/>
              <w:ind w:left="-87" w:right="-54"/>
              <w:jc w:val="both"/>
              <w:rPr>
                <w:color w:val="000000"/>
                <w:sz w:val="24"/>
                <w:szCs w:val="24"/>
              </w:rPr>
            </w:pPr>
            <w:r w:rsidRPr="00800EB4">
              <w:rPr>
                <w:color w:val="000000"/>
                <w:sz w:val="24"/>
                <w:szCs w:val="24"/>
              </w:rPr>
              <w:t>Виконавчі органи Чернівецької міської ради, відділ економічного розвитку громади при виконавчому комітеті Чернівецької міської ради</w:t>
            </w:r>
          </w:p>
        </w:tc>
      </w:tr>
      <w:tr w:rsidR="001B0CD8" w:rsidRPr="00690961" w:rsidTr="00144423">
        <w:trPr>
          <w:trHeight w:val="475"/>
        </w:trPr>
        <w:tc>
          <w:tcPr>
            <w:tcW w:w="495" w:type="dxa"/>
            <w:tcBorders>
              <w:top w:val="single" w:sz="4" w:space="0" w:color="auto"/>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jc w:val="center"/>
              <w:rPr>
                <w:b/>
                <w:sz w:val="24"/>
                <w:szCs w:val="24"/>
              </w:rPr>
            </w:pPr>
            <w:r>
              <w:rPr>
                <w:b/>
                <w:sz w:val="24"/>
                <w:szCs w:val="24"/>
              </w:rPr>
              <w:t>5</w:t>
            </w:r>
            <w:r w:rsidRPr="00690961">
              <w:rPr>
                <w:b/>
                <w:sz w:val="24"/>
                <w:szCs w:val="24"/>
              </w:rPr>
              <w:t>.</w:t>
            </w:r>
          </w:p>
        </w:tc>
        <w:tc>
          <w:tcPr>
            <w:tcW w:w="2820" w:type="dxa"/>
            <w:tcBorders>
              <w:top w:val="single" w:sz="4" w:space="0" w:color="auto"/>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jc w:val="both"/>
              <w:rPr>
                <w:b/>
                <w:sz w:val="24"/>
                <w:szCs w:val="24"/>
              </w:rPr>
            </w:pPr>
            <w:r w:rsidRPr="00690961">
              <w:rPr>
                <w:b/>
                <w:spacing w:val="-7"/>
                <w:sz w:val="24"/>
                <w:szCs w:val="24"/>
              </w:rPr>
              <w:t xml:space="preserve">Відповідальний виконавець </w:t>
            </w:r>
            <w:r w:rsidRPr="00690961">
              <w:rPr>
                <w:b/>
                <w:sz w:val="24"/>
                <w:szCs w:val="24"/>
              </w:rPr>
              <w:t>Програми</w:t>
            </w:r>
          </w:p>
          <w:p w:rsidR="001B0CD8" w:rsidRPr="00690961" w:rsidRDefault="001B0CD8" w:rsidP="00144423">
            <w:pPr>
              <w:shd w:val="clear" w:color="auto" w:fill="FFFFFF"/>
              <w:ind w:left="-87" w:right="-54"/>
              <w:jc w:val="both"/>
              <w:rPr>
                <w:b/>
                <w:spacing w:val="-6"/>
                <w:sz w:val="24"/>
                <w:szCs w:val="24"/>
              </w:rPr>
            </w:pPr>
          </w:p>
        </w:tc>
        <w:tc>
          <w:tcPr>
            <w:tcW w:w="6237" w:type="dxa"/>
            <w:tcBorders>
              <w:top w:val="single" w:sz="4" w:space="0" w:color="auto"/>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jc w:val="both"/>
              <w:rPr>
                <w:sz w:val="24"/>
                <w:szCs w:val="24"/>
              </w:rPr>
            </w:pPr>
            <w:r>
              <w:rPr>
                <w:sz w:val="24"/>
                <w:szCs w:val="24"/>
              </w:rPr>
              <w:t>Департамент розвитку Чернівецької міської ради</w:t>
            </w:r>
          </w:p>
        </w:tc>
      </w:tr>
      <w:tr w:rsidR="001B0CD8" w:rsidRPr="00690961" w:rsidTr="00144423">
        <w:trPr>
          <w:trHeight w:val="441"/>
        </w:trPr>
        <w:tc>
          <w:tcPr>
            <w:tcW w:w="495" w:type="dxa"/>
            <w:tcBorders>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jc w:val="center"/>
              <w:rPr>
                <w:b/>
                <w:sz w:val="24"/>
                <w:szCs w:val="24"/>
              </w:rPr>
            </w:pPr>
            <w:r>
              <w:rPr>
                <w:b/>
                <w:sz w:val="24"/>
                <w:szCs w:val="24"/>
              </w:rPr>
              <w:t>6</w:t>
            </w:r>
            <w:r w:rsidRPr="00690961">
              <w:rPr>
                <w:b/>
                <w:sz w:val="24"/>
                <w:szCs w:val="24"/>
              </w:rPr>
              <w:t>.</w:t>
            </w:r>
          </w:p>
        </w:tc>
        <w:tc>
          <w:tcPr>
            <w:tcW w:w="2820" w:type="dxa"/>
            <w:tcBorders>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jc w:val="both"/>
              <w:rPr>
                <w:b/>
                <w:spacing w:val="-6"/>
                <w:sz w:val="24"/>
                <w:szCs w:val="24"/>
              </w:rPr>
            </w:pPr>
            <w:r w:rsidRPr="00690961">
              <w:rPr>
                <w:b/>
                <w:spacing w:val="-7"/>
                <w:sz w:val="24"/>
                <w:szCs w:val="24"/>
              </w:rPr>
              <w:t>Учасники  (співвиконавці) Програми</w:t>
            </w:r>
          </w:p>
        </w:tc>
        <w:tc>
          <w:tcPr>
            <w:tcW w:w="6237" w:type="dxa"/>
            <w:tcBorders>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jc w:val="both"/>
              <w:rPr>
                <w:sz w:val="24"/>
                <w:szCs w:val="24"/>
              </w:rPr>
            </w:pPr>
            <w:r w:rsidRPr="00800EB4">
              <w:rPr>
                <w:color w:val="000000"/>
                <w:sz w:val="24"/>
                <w:szCs w:val="24"/>
              </w:rPr>
              <w:t>Виконавчі органи Чернівецької міської ради, відділ економічного розвитку громади при виконавчому комітеті Чернівецької міської ради</w:t>
            </w:r>
          </w:p>
        </w:tc>
      </w:tr>
      <w:tr w:rsidR="001B0CD8" w:rsidRPr="00690961" w:rsidTr="00144423">
        <w:trPr>
          <w:trHeight w:val="251"/>
        </w:trPr>
        <w:tc>
          <w:tcPr>
            <w:tcW w:w="495" w:type="dxa"/>
            <w:tcBorders>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jc w:val="center"/>
              <w:rPr>
                <w:b/>
                <w:sz w:val="24"/>
                <w:szCs w:val="24"/>
              </w:rPr>
            </w:pPr>
            <w:r>
              <w:rPr>
                <w:b/>
                <w:sz w:val="24"/>
                <w:szCs w:val="24"/>
              </w:rPr>
              <w:t>7</w:t>
            </w:r>
            <w:r w:rsidRPr="00690961">
              <w:rPr>
                <w:b/>
                <w:sz w:val="24"/>
                <w:szCs w:val="24"/>
              </w:rPr>
              <w:t>.</w:t>
            </w:r>
          </w:p>
        </w:tc>
        <w:tc>
          <w:tcPr>
            <w:tcW w:w="2820" w:type="dxa"/>
            <w:tcBorders>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jc w:val="both"/>
              <w:rPr>
                <w:b/>
                <w:spacing w:val="-7"/>
                <w:sz w:val="24"/>
                <w:szCs w:val="24"/>
              </w:rPr>
            </w:pPr>
            <w:r w:rsidRPr="00690961">
              <w:rPr>
                <w:b/>
                <w:spacing w:val="-5"/>
                <w:sz w:val="24"/>
                <w:szCs w:val="24"/>
              </w:rPr>
              <w:t>Термін реалізації Програми</w:t>
            </w:r>
          </w:p>
        </w:tc>
        <w:tc>
          <w:tcPr>
            <w:tcW w:w="6237" w:type="dxa"/>
            <w:tcBorders>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rPr>
                <w:color w:val="FF0000"/>
                <w:sz w:val="24"/>
                <w:szCs w:val="24"/>
              </w:rPr>
            </w:pPr>
            <w:r w:rsidRPr="00690961">
              <w:rPr>
                <w:b/>
                <w:sz w:val="24"/>
                <w:szCs w:val="24"/>
              </w:rPr>
              <w:t xml:space="preserve"> </w:t>
            </w:r>
            <w:r>
              <w:rPr>
                <w:b/>
                <w:sz w:val="24"/>
                <w:szCs w:val="24"/>
              </w:rPr>
              <w:t>2020-2023 роки</w:t>
            </w:r>
          </w:p>
        </w:tc>
      </w:tr>
      <w:tr w:rsidR="001B0CD8" w:rsidRPr="00690961" w:rsidTr="00144423">
        <w:trPr>
          <w:trHeight w:val="1170"/>
        </w:trPr>
        <w:tc>
          <w:tcPr>
            <w:tcW w:w="495" w:type="dxa"/>
            <w:tcBorders>
              <w:top w:val="single" w:sz="4" w:space="0" w:color="auto"/>
              <w:left w:val="single" w:sz="4" w:space="0" w:color="auto"/>
              <w:bottom w:val="single" w:sz="4" w:space="0" w:color="auto"/>
              <w:right w:val="single" w:sz="4" w:space="0" w:color="auto"/>
            </w:tcBorders>
          </w:tcPr>
          <w:p w:rsidR="001B0CD8" w:rsidRPr="00690961" w:rsidRDefault="001B0CD8" w:rsidP="00144423">
            <w:pPr>
              <w:shd w:val="clear" w:color="auto" w:fill="FFFFFF"/>
              <w:ind w:left="-87" w:right="-54"/>
              <w:jc w:val="center"/>
              <w:rPr>
                <w:b/>
                <w:sz w:val="24"/>
                <w:szCs w:val="24"/>
              </w:rPr>
            </w:pPr>
            <w:r>
              <w:rPr>
                <w:b/>
                <w:sz w:val="24"/>
                <w:szCs w:val="24"/>
              </w:rPr>
              <w:t>8</w:t>
            </w:r>
            <w:r w:rsidRPr="00690961">
              <w:rPr>
                <w:b/>
                <w:sz w:val="24"/>
                <w:szCs w:val="24"/>
              </w:rPr>
              <w:t>.</w:t>
            </w:r>
          </w:p>
        </w:tc>
        <w:tc>
          <w:tcPr>
            <w:tcW w:w="2820" w:type="dxa"/>
            <w:tcBorders>
              <w:top w:val="single" w:sz="4" w:space="0" w:color="auto"/>
              <w:left w:val="single" w:sz="4" w:space="0" w:color="auto"/>
              <w:bottom w:val="single" w:sz="4" w:space="0" w:color="auto"/>
              <w:right w:val="single" w:sz="4" w:space="0" w:color="auto"/>
            </w:tcBorders>
          </w:tcPr>
          <w:p w:rsidR="001B0CD8" w:rsidRPr="00D536DC" w:rsidRDefault="001B0CD8" w:rsidP="00144423">
            <w:pPr>
              <w:shd w:val="clear" w:color="auto" w:fill="FFFFFF"/>
              <w:ind w:left="-87" w:right="-54"/>
              <w:jc w:val="both"/>
              <w:rPr>
                <w:spacing w:val="-6"/>
                <w:sz w:val="24"/>
                <w:szCs w:val="24"/>
              </w:rPr>
            </w:pPr>
            <w:r w:rsidRPr="00690961">
              <w:rPr>
                <w:b/>
                <w:spacing w:val="-6"/>
                <w:sz w:val="24"/>
                <w:szCs w:val="24"/>
              </w:rPr>
              <w:t xml:space="preserve">Загальний обсяг фінансових ресурсів, необхідних для реалізації </w:t>
            </w:r>
            <w:r w:rsidRPr="00690961">
              <w:rPr>
                <w:b/>
                <w:sz w:val="24"/>
                <w:szCs w:val="24"/>
              </w:rPr>
              <w:t>Програми</w:t>
            </w:r>
          </w:p>
        </w:tc>
        <w:tc>
          <w:tcPr>
            <w:tcW w:w="6237" w:type="dxa"/>
            <w:tcBorders>
              <w:top w:val="single" w:sz="4" w:space="0" w:color="auto"/>
              <w:left w:val="single" w:sz="4" w:space="0" w:color="auto"/>
              <w:bottom w:val="single" w:sz="4" w:space="0" w:color="auto"/>
              <w:right w:val="single" w:sz="4" w:space="0" w:color="auto"/>
            </w:tcBorders>
          </w:tcPr>
          <w:p w:rsidR="001B0CD8" w:rsidRPr="00690961" w:rsidRDefault="001B0CD8" w:rsidP="00144423">
            <w:pPr>
              <w:jc w:val="center"/>
              <w:rPr>
                <w:sz w:val="24"/>
                <w:szCs w:val="24"/>
              </w:rPr>
            </w:pPr>
            <w:r>
              <w:rPr>
                <w:sz w:val="24"/>
                <w:szCs w:val="24"/>
              </w:rPr>
              <w:t>-</w:t>
            </w:r>
          </w:p>
        </w:tc>
      </w:tr>
      <w:tr w:rsidR="001B0CD8" w:rsidRPr="00690961" w:rsidTr="00144423">
        <w:trPr>
          <w:trHeight w:val="242"/>
        </w:trPr>
        <w:tc>
          <w:tcPr>
            <w:tcW w:w="495" w:type="dxa"/>
            <w:tcBorders>
              <w:top w:val="single" w:sz="4" w:space="0" w:color="auto"/>
              <w:left w:val="single" w:sz="4" w:space="0" w:color="auto"/>
              <w:bottom w:val="single" w:sz="4" w:space="0" w:color="auto"/>
              <w:right w:val="single" w:sz="4" w:space="0" w:color="auto"/>
            </w:tcBorders>
          </w:tcPr>
          <w:p w:rsidR="001B0CD8" w:rsidRPr="00180F52" w:rsidRDefault="001B0CD8" w:rsidP="00144423">
            <w:pPr>
              <w:shd w:val="clear" w:color="auto" w:fill="FFFFFF"/>
              <w:ind w:left="-87" w:right="-54"/>
              <w:jc w:val="center"/>
              <w:rPr>
                <w:sz w:val="24"/>
                <w:szCs w:val="24"/>
              </w:rPr>
            </w:pPr>
            <w:r w:rsidRPr="00180F52">
              <w:rPr>
                <w:sz w:val="24"/>
                <w:szCs w:val="24"/>
              </w:rPr>
              <w:t>8.1</w:t>
            </w:r>
          </w:p>
        </w:tc>
        <w:tc>
          <w:tcPr>
            <w:tcW w:w="2820" w:type="dxa"/>
            <w:tcBorders>
              <w:top w:val="single" w:sz="4" w:space="0" w:color="auto"/>
              <w:left w:val="single" w:sz="4" w:space="0" w:color="auto"/>
              <w:bottom w:val="single" w:sz="4" w:space="0" w:color="auto"/>
              <w:right w:val="single" w:sz="4" w:space="0" w:color="auto"/>
            </w:tcBorders>
          </w:tcPr>
          <w:p w:rsidR="001B0CD8" w:rsidRPr="00180F52" w:rsidRDefault="001B0CD8" w:rsidP="00144423">
            <w:pPr>
              <w:shd w:val="clear" w:color="auto" w:fill="FFFFFF"/>
              <w:ind w:left="-87" w:right="-54"/>
              <w:jc w:val="both"/>
              <w:rPr>
                <w:spacing w:val="-6"/>
                <w:sz w:val="24"/>
                <w:szCs w:val="24"/>
              </w:rPr>
            </w:pPr>
            <w:r w:rsidRPr="00180F52">
              <w:rPr>
                <w:spacing w:val="-6"/>
                <w:sz w:val="24"/>
                <w:szCs w:val="24"/>
              </w:rPr>
              <w:t>-міський бюджет</w:t>
            </w:r>
          </w:p>
        </w:tc>
        <w:tc>
          <w:tcPr>
            <w:tcW w:w="6237" w:type="dxa"/>
            <w:tcBorders>
              <w:top w:val="single" w:sz="4" w:space="0" w:color="auto"/>
              <w:left w:val="single" w:sz="4" w:space="0" w:color="auto"/>
              <w:bottom w:val="single" w:sz="4" w:space="0" w:color="auto"/>
              <w:right w:val="single" w:sz="4" w:space="0" w:color="auto"/>
            </w:tcBorders>
          </w:tcPr>
          <w:p w:rsidR="001B0CD8" w:rsidRDefault="001B0CD8" w:rsidP="00144423">
            <w:pPr>
              <w:jc w:val="center"/>
              <w:rPr>
                <w:sz w:val="24"/>
                <w:szCs w:val="24"/>
              </w:rPr>
            </w:pPr>
            <w:r>
              <w:rPr>
                <w:sz w:val="24"/>
                <w:szCs w:val="24"/>
              </w:rPr>
              <w:t>-</w:t>
            </w:r>
          </w:p>
        </w:tc>
      </w:tr>
      <w:tr w:rsidR="001B0CD8" w:rsidRPr="00690961" w:rsidTr="00144423">
        <w:trPr>
          <w:trHeight w:val="242"/>
        </w:trPr>
        <w:tc>
          <w:tcPr>
            <w:tcW w:w="495" w:type="dxa"/>
            <w:tcBorders>
              <w:top w:val="single" w:sz="4" w:space="0" w:color="auto"/>
              <w:left w:val="single" w:sz="4" w:space="0" w:color="auto"/>
              <w:bottom w:val="single" w:sz="4" w:space="0" w:color="auto"/>
              <w:right w:val="single" w:sz="4" w:space="0" w:color="auto"/>
            </w:tcBorders>
          </w:tcPr>
          <w:p w:rsidR="001B0CD8" w:rsidRPr="00180F52" w:rsidRDefault="001B0CD8" w:rsidP="00144423">
            <w:pPr>
              <w:shd w:val="clear" w:color="auto" w:fill="FFFFFF"/>
              <w:ind w:left="-87" w:right="-54"/>
              <w:jc w:val="center"/>
              <w:rPr>
                <w:sz w:val="24"/>
                <w:szCs w:val="24"/>
              </w:rPr>
            </w:pPr>
            <w:r w:rsidRPr="00180F52">
              <w:rPr>
                <w:sz w:val="24"/>
                <w:szCs w:val="24"/>
              </w:rPr>
              <w:t>8.2</w:t>
            </w:r>
          </w:p>
        </w:tc>
        <w:tc>
          <w:tcPr>
            <w:tcW w:w="2820" w:type="dxa"/>
            <w:tcBorders>
              <w:top w:val="single" w:sz="4" w:space="0" w:color="auto"/>
              <w:left w:val="single" w:sz="4" w:space="0" w:color="auto"/>
              <w:bottom w:val="single" w:sz="4" w:space="0" w:color="auto"/>
              <w:right w:val="single" w:sz="4" w:space="0" w:color="auto"/>
            </w:tcBorders>
          </w:tcPr>
          <w:p w:rsidR="001B0CD8" w:rsidRPr="00180F52" w:rsidRDefault="001B0CD8" w:rsidP="00144423">
            <w:pPr>
              <w:shd w:val="clear" w:color="auto" w:fill="FFFFFF"/>
              <w:ind w:left="-87" w:right="-54"/>
              <w:jc w:val="both"/>
              <w:rPr>
                <w:spacing w:val="-6"/>
                <w:sz w:val="24"/>
                <w:szCs w:val="24"/>
              </w:rPr>
            </w:pPr>
            <w:r>
              <w:rPr>
                <w:spacing w:val="-6"/>
                <w:sz w:val="24"/>
                <w:szCs w:val="24"/>
              </w:rPr>
              <w:t>-інші джерела фінансування, не заборонені чинним законодавством</w:t>
            </w:r>
          </w:p>
        </w:tc>
        <w:tc>
          <w:tcPr>
            <w:tcW w:w="6237" w:type="dxa"/>
            <w:tcBorders>
              <w:top w:val="single" w:sz="4" w:space="0" w:color="auto"/>
              <w:left w:val="single" w:sz="4" w:space="0" w:color="auto"/>
              <w:bottom w:val="single" w:sz="4" w:space="0" w:color="auto"/>
              <w:right w:val="single" w:sz="4" w:space="0" w:color="auto"/>
            </w:tcBorders>
          </w:tcPr>
          <w:p w:rsidR="001B0CD8" w:rsidRDefault="001B0CD8" w:rsidP="00144423">
            <w:pPr>
              <w:jc w:val="center"/>
              <w:rPr>
                <w:sz w:val="24"/>
                <w:szCs w:val="24"/>
              </w:rPr>
            </w:pPr>
            <w:r>
              <w:rPr>
                <w:sz w:val="24"/>
                <w:szCs w:val="24"/>
              </w:rPr>
              <w:t>в межах залучених коштів</w:t>
            </w:r>
          </w:p>
        </w:tc>
      </w:tr>
    </w:tbl>
    <w:p w:rsidR="001B0CD8" w:rsidRPr="00690961" w:rsidRDefault="001B0CD8" w:rsidP="001B0CD8">
      <w:pPr>
        <w:rPr>
          <w:sz w:val="24"/>
          <w:szCs w:val="24"/>
        </w:rPr>
      </w:pPr>
    </w:p>
    <w:p w:rsidR="001B0CD8" w:rsidRPr="00690961" w:rsidRDefault="001B0CD8" w:rsidP="001B0CD8">
      <w:pPr>
        <w:rPr>
          <w:sz w:val="24"/>
          <w:szCs w:val="24"/>
        </w:rPr>
      </w:pPr>
    </w:p>
    <w:p w:rsidR="001B0CD8" w:rsidRPr="00690961" w:rsidRDefault="001B0CD8" w:rsidP="001B0CD8">
      <w:pPr>
        <w:rPr>
          <w:sz w:val="24"/>
          <w:szCs w:val="24"/>
        </w:rPr>
      </w:pPr>
    </w:p>
    <w:p w:rsidR="001B0CD8" w:rsidRPr="00690961" w:rsidRDefault="001B0CD8" w:rsidP="001B0CD8">
      <w:pPr>
        <w:rPr>
          <w:sz w:val="24"/>
          <w:szCs w:val="24"/>
        </w:rPr>
      </w:pPr>
    </w:p>
    <w:p w:rsidR="001B0CD8" w:rsidRDefault="001B0CD8" w:rsidP="001B0CD8">
      <w:pPr>
        <w:rPr>
          <w:sz w:val="28"/>
          <w:szCs w:val="28"/>
        </w:rPr>
      </w:pPr>
    </w:p>
    <w:p w:rsidR="001B0CD8" w:rsidRDefault="001B0CD8" w:rsidP="001B0CD8">
      <w:pPr>
        <w:rPr>
          <w:sz w:val="28"/>
          <w:szCs w:val="28"/>
        </w:rPr>
      </w:pPr>
    </w:p>
    <w:p w:rsidR="001B0CD8" w:rsidRDefault="001B0CD8" w:rsidP="001B0CD8">
      <w:pPr>
        <w:rPr>
          <w:sz w:val="28"/>
          <w:szCs w:val="28"/>
        </w:rPr>
      </w:pPr>
    </w:p>
    <w:p w:rsidR="001B0CD8" w:rsidRDefault="001B0CD8" w:rsidP="001B0CD8">
      <w:pPr>
        <w:rPr>
          <w:sz w:val="28"/>
          <w:szCs w:val="28"/>
        </w:rPr>
      </w:pPr>
    </w:p>
    <w:p w:rsidR="001B0CD8" w:rsidRDefault="001B0CD8" w:rsidP="001B0CD8">
      <w:pPr>
        <w:rPr>
          <w:sz w:val="28"/>
          <w:szCs w:val="28"/>
        </w:rPr>
      </w:pPr>
    </w:p>
    <w:p w:rsidR="001B0CD8" w:rsidRDefault="001B0CD8" w:rsidP="001B0CD8">
      <w:pPr>
        <w:rPr>
          <w:sz w:val="28"/>
          <w:szCs w:val="28"/>
        </w:rPr>
      </w:pPr>
    </w:p>
    <w:p w:rsidR="001B0CD8" w:rsidRDefault="001B0CD8" w:rsidP="001B0CD8">
      <w:pPr>
        <w:rPr>
          <w:sz w:val="28"/>
          <w:szCs w:val="28"/>
        </w:rPr>
      </w:pPr>
    </w:p>
    <w:p w:rsidR="001B0CD8" w:rsidRDefault="001B0CD8" w:rsidP="001B0CD8">
      <w:pPr>
        <w:rPr>
          <w:sz w:val="28"/>
          <w:szCs w:val="28"/>
        </w:rPr>
      </w:pPr>
    </w:p>
    <w:p w:rsidR="005A3FD1" w:rsidRDefault="005A3FD1" w:rsidP="001B0CD8">
      <w:pPr>
        <w:rPr>
          <w:sz w:val="28"/>
          <w:szCs w:val="28"/>
        </w:rPr>
      </w:pPr>
    </w:p>
    <w:p w:rsidR="001B0CD8" w:rsidRDefault="001B0CD8" w:rsidP="001B0CD8">
      <w:pPr>
        <w:jc w:val="center"/>
        <w:rPr>
          <w:b/>
          <w:color w:val="FF0000"/>
          <w:sz w:val="28"/>
          <w:szCs w:val="28"/>
        </w:rPr>
      </w:pPr>
    </w:p>
    <w:p w:rsidR="001B0CD8" w:rsidRPr="006707E7" w:rsidRDefault="001B0CD8" w:rsidP="001B0CD8">
      <w:pPr>
        <w:jc w:val="center"/>
        <w:rPr>
          <w:b/>
          <w:color w:val="000000"/>
          <w:sz w:val="28"/>
          <w:szCs w:val="28"/>
        </w:rPr>
      </w:pPr>
      <w:r w:rsidRPr="006707E7">
        <w:rPr>
          <w:b/>
          <w:color w:val="000000"/>
          <w:sz w:val="28"/>
          <w:szCs w:val="28"/>
        </w:rPr>
        <w:lastRenderedPageBreak/>
        <w:t xml:space="preserve">2.Визначення проблеми, </w:t>
      </w:r>
    </w:p>
    <w:p w:rsidR="001B0CD8" w:rsidRPr="006707E7" w:rsidRDefault="001B0CD8" w:rsidP="001B0CD8">
      <w:pPr>
        <w:jc w:val="center"/>
        <w:rPr>
          <w:b/>
          <w:color w:val="000000"/>
          <w:sz w:val="28"/>
          <w:szCs w:val="28"/>
        </w:rPr>
      </w:pPr>
      <w:r w:rsidRPr="006707E7">
        <w:rPr>
          <w:b/>
          <w:color w:val="000000"/>
          <w:sz w:val="28"/>
          <w:szCs w:val="28"/>
        </w:rPr>
        <w:t>на розв’язання якої спрямована Програма.</w:t>
      </w:r>
    </w:p>
    <w:p w:rsidR="001B0CD8" w:rsidRPr="0061267B" w:rsidRDefault="001B0CD8" w:rsidP="001B0CD8">
      <w:pPr>
        <w:rPr>
          <w:b/>
          <w:color w:val="FF0000"/>
          <w:sz w:val="28"/>
          <w:szCs w:val="28"/>
        </w:rPr>
      </w:pPr>
    </w:p>
    <w:p w:rsidR="001B0CD8" w:rsidRDefault="001B0CD8" w:rsidP="001B0CD8">
      <w:pPr>
        <w:ind w:firstLine="708"/>
        <w:jc w:val="both"/>
        <w:rPr>
          <w:sz w:val="28"/>
          <w:szCs w:val="28"/>
        </w:rPr>
      </w:pPr>
      <w:r w:rsidRPr="006E7F8F">
        <w:rPr>
          <w:sz w:val="28"/>
          <w:szCs w:val="28"/>
        </w:rPr>
        <w:t xml:space="preserve">За останні роки в економіці </w:t>
      </w:r>
      <w:r>
        <w:rPr>
          <w:sz w:val="28"/>
          <w:szCs w:val="28"/>
        </w:rPr>
        <w:t>міста Чернівців</w:t>
      </w:r>
      <w:r w:rsidRPr="006E7F8F">
        <w:rPr>
          <w:sz w:val="28"/>
          <w:szCs w:val="28"/>
        </w:rPr>
        <w:t xml:space="preserve"> спостеріга</w:t>
      </w:r>
      <w:r>
        <w:rPr>
          <w:sz w:val="28"/>
          <w:szCs w:val="28"/>
        </w:rPr>
        <w:t>є</w:t>
      </w:r>
      <w:r w:rsidRPr="006E7F8F">
        <w:rPr>
          <w:sz w:val="28"/>
          <w:szCs w:val="28"/>
        </w:rPr>
        <w:t xml:space="preserve">ться </w:t>
      </w:r>
      <w:r>
        <w:rPr>
          <w:sz w:val="28"/>
          <w:szCs w:val="28"/>
        </w:rPr>
        <w:t xml:space="preserve">певна </w:t>
      </w:r>
      <w:r w:rsidRPr="006E7F8F">
        <w:rPr>
          <w:sz w:val="28"/>
          <w:szCs w:val="28"/>
        </w:rPr>
        <w:t xml:space="preserve"> структурна деформація і відставання від </w:t>
      </w:r>
      <w:r>
        <w:rPr>
          <w:sz w:val="28"/>
          <w:szCs w:val="28"/>
        </w:rPr>
        <w:t xml:space="preserve">інших міст України </w:t>
      </w:r>
      <w:r w:rsidRPr="006E7F8F">
        <w:rPr>
          <w:sz w:val="28"/>
          <w:szCs w:val="28"/>
        </w:rPr>
        <w:t xml:space="preserve">за продуктивністю виробництва та рівнем добробуту населення. Більшість підприємств </w:t>
      </w:r>
      <w:r>
        <w:rPr>
          <w:sz w:val="28"/>
          <w:szCs w:val="28"/>
        </w:rPr>
        <w:t xml:space="preserve">міста Чернівців </w:t>
      </w:r>
      <w:r w:rsidRPr="006E7F8F">
        <w:rPr>
          <w:sz w:val="28"/>
          <w:szCs w:val="28"/>
        </w:rPr>
        <w:t>залишаються технологічно відсталими, енергоємними, мають слабку диверсифікацію продук</w:t>
      </w:r>
      <w:r>
        <w:rPr>
          <w:sz w:val="28"/>
          <w:szCs w:val="28"/>
        </w:rPr>
        <w:t>ції і</w:t>
      </w:r>
      <w:r w:rsidRPr="006E7F8F">
        <w:rPr>
          <w:sz w:val="28"/>
          <w:szCs w:val="28"/>
        </w:rPr>
        <w:t xml:space="preserve"> ринків</w:t>
      </w:r>
      <w:r>
        <w:rPr>
          <w:sz w:val="28"/>
          <w:szCs w:val="28"/>
        </w:rPr>
        <w:t xml:space="preserve"> збуту</w:t>
      </w:r>
      <w:r w:rsidRPr="006E7F8F">
        <w:rPr>
          <w:sz w:val="28"/>
          <w:szCs w:val="28"/>
        </w:rPr>
        <w:t xml:space="preserve">. </w:t>
      </w:r>
    </w:p>
    <w:p w:rsidR="001B0CD8" w:rsidRDefault="001B0CD8" w:rsidP="001B0CD8">
      <w:pPr>
        <w:ind w:firstLine="708"/>
        <w:jc w:val="both"/>
        <w:rPr>
          <w:sz w:val="28"/>
          <w:szCs w:val="28"/>
        </w:rPr>
      </w:pPr>
      <w:r>
        <w:rPr>
          <w:sz w:val="28"/>
          <w:szCs w:val="28"/>
        </w:rPr>
        <w:t xml:space="preserve">Також, на даний час в місті Чернівцях, як і в цілому по Україні, спостерігається </w:t>
      </w:r>
      <w:r w:rsidRPr="00355110">
        <w:rPr>
          <w:sz w:val="28"/>
          <w:szCs w:val="28"/>
        </w:rPr>
        <w:t>тенденція до зменшення обсягів вільних фінансових ресурсів</w:t>
      </w:r>
      <w:r>
        <w:rPr>
          <w:sz w:val="28"/>
          <w:szCs w:val="28"/>
        </w:rPr>
        <w:t>. Н</w:t>
      </w:r>
      <w:r w:rsidRPr="00355110">
        <w:rPr>
          <w:sz w:val="28"/>
          <w:szCs w:val="28"/>
        </w:rPr>
        <w:t xml:space="preserve">едостатній рівень внутрішніх заощаджень </w:t>
      </w:r>
      <w:r>
        <w:rPr>
          <w:sz w:val="28"/>
          <w:szCs w:val="28"/>
        </w:rPr>
        <w:t xml:space="preserve">уповільнює </w:t>
      </w:r>
      <w:r w:rsidRPr="00355110">
        <w:rPr>
          <w:sz w:val="28"/>
          <w:szCs w:val="28"/>
        </w:rPr>
        <w:t>динамічний розвиток економіки</w:t>
      </w:r>
      <w:r>
        <w:rPr>
          <w:sz w:val="28"/>
          <w:szCs w:val="28"/>
        </w:rPr>
        <w:t xml:space="preserve"> міста </w:t>
      </w:r>
      <w:r w:rsidRPr="00355110">
        <w:rPr>
          <w:sz w:val="28"/>
          <w:szCs w:val="28"/>
        </w:rPr>
        <w:t xml:space="preserve"> виключно на основі внутрішніх інвестиційних ресурсів. Таким чином, </w:t>
      </w:r>
      <w:r>
        <w:rPr>
          <w:sz w:val="28"/>
          <w:szCs w:val="28"/>
        </w:rPr>
        <w:t xml:space="preserve">актуальною є проблема </w:t>
      </w:r>
      <w:r w:rsidRPr="00355110">
        <w:rPr>
          <w:sz w:val="28"/>
          <w:szCs w:val="28"/>
        </w:rPr>
        <w:t xml:space="preserve">збільшення обсягів інвестицій, необхідних для забезпечення сталого розвитку міста, їх залучення в реальний сектор економіки та підвищення таким чином рівня життя </w:t>
      </w:r>
      <w:r>
        <w:rPr>
          <w:sz w:val="28"/>
          <w:szCs w:val="28"/>
        </w:rPr>
        <w:t xml:space="preserve">та </w:t>
      </w:r>
      <w:r w:rsidRPr="00355110">
        <w:rPr>
          <w:sz w:val="28"/>
          <w:szCs w:val="28"/>
        </w:rPr>
        <w:t xml:space="preserve"> задоволення потреб </w:t>
      </w:r>
      <w:r>
        <w:rPr>
          <w:sz w:val="28"/>
          <w:szCs w:val="28"/>
        </w:rPr>
        <w:t>мешканців міста Чернівців.</w:t>
      </w:r>
    </w:p>
    <w:p w:rsidR="001B0CD8" w:rsidRPr="00B62392" w:rsidRDefault="001B0CD8" w:rsidP="001B0CD8">
      <w:pPr>
        <w:ind w:firstLine="708"/>
        <w:jc w:val="both"/>
        <w:rPr>
          <w:color w:val="000000"/>
          <w:sz w:val="28"/>
          <w:szCs w:val="28"/>
        </w:rPr>
      </w:pPr>
      <w:r w:rsidRPr="00B62392">
        <w:rPr>
          <w:color w:val="000000"/>
          <w:sz w:val="28"/>
          <w:szCs w:val="28"/>
        </w:rPr>
        <w:t>Конкурентоспроможніс</w:t>
      </w:r>
      <w:r>
        <w:rPr>
          <w:color w:val="000000"/>
          <w:sz w:val="28"/>
          <w:szCs w:val="28"/>
        </w:rPr>
        <w:t>т</w:t>
      </w:r>
      <w:r w:rsidRPr="00B62392">
        <w:rPr>
          <w:color w:val="000000"/>
          <w:sz w:val="28"/>
          <w:szCs w:val="28"/>
        </w:rPr>
        <w:t>ь міста можна визначити як його здатність ефективно використовувати свої конкурентні переваги з метою забезпечення сталого зростання, успішно адапт</w:t>
      </w:r>
      <w:r>
        <w:rPr>
          <w:color w:val="000000"/>
          <w:sz w:val="28"/>
          <w:szCs w:val="28"/>
        </w:rPr>
        <w:t>овуватись до зовнішніх і внутріш</w:t>
      </w:r>
      <w:r w:rsidRPr="00B62392">
        <w:rPr>
          <w:color w:val="000000"/>
          <w:sz w:val="28"/>
          <w:szCs w:val="28"/>
        </w:rPr>
        <w:t xml:space="preserve">ніх викликів. Формування конкурентних переваг може відбуватись, зокрема, за рахунок удосконалення та активізації інвестиційної та зовнішньоекономічної діяльності, міжрегіонального та міжнародного співробітництва, як основних напрямів стимулювання економічного і соціального розвитку міста Чернівців. </w:t>
      </w:r>
    </w:p>
    <w:p w:rsidR="001B0CD8" w:rsidRPr="001B0CD8" w:rsidRDefault="001B0CD8" w:rsidP="001B0CD8">
      <w:pPr>
        <w:ind w:firstLine="708"/>
        <w:jc w:val="both"/>
        <w:rPr>
          <w:sz w:val="28"/>
          <w:szCs w:val="28"/>
        </w:rPr>
      </w:pPr>
      <w:r w:rsidRPr="001B0CD8">
        <w:rPr>
          <w:sz w:val="28"/>
          <w:szCs w:val="28"/>
        </w:rPr>
        <w:t xml:space="preserve">Впродовж 2017-2019 років в місті Чернівцях спостерігалась позитивна тенденція зростання обсягів капітальних інвестицій, зокрема: </w:t>
      </w:r>
    </w:p>
    <w:p w:rsidR="001B0CD8" w:rsidRPr="001B0CD8" w:rsidRDefault="001B0CD8" w:rsidP="001B0CD8">
      <w:pPr>
        <w:ind w:firstLine="708"/>
        <w:jc w:val="both"/>
        <w:rPr>
          <w:bCs/>
          <w:sz w:val="28"/>
          <w:szCs w:val="28"/>
        </w:rPr>
      </w:pPr>
      <w:r w:rsidRPr="001B0CD8">
        <w:rPr>
          <w:sz w:val="28"/>
          <w:szCs w:val="28"/>
        </w:rPr>
        <w:t>-у 2017 році обсяг капітальних інвестицій (у фактичних цінах) склав 1708,044 млн.грн., індекс зростання до попереднього року склав 103,7%. О</w:t>
      </w:r>
      <w:r w:rsidRPr="001B0CD8">
        <w:rPr>
          <w:bCs/>
          <w:sz w:val="28"/>
          <w:szCs w:val="28"/>
        </w:rPr>
        <w:t xml:space="preserve">бсяг капітальних інвестицій у розрахунку на 1 особу населення  (без урахування коштів з державного бюджету) склав  6311,7 грн; </w:t>
      </w:r>
    </w:p>
    <w:p w:rsidR="001B0CD8" w:rsidRPr="001B0CD8" w:rsidRDefault="001B0CD8" w:rsidP="001B0CD8">
      <w:pPr>
        <w:ind w:firstLine="708"/>
        <w:jc w:val="both"/>
        <w:rPr>
          <w:bCs/>
          <w:sz w:val="28"/>
          <w:szCs w:val="28"/>
        </w:rPr>
      </w:pPr>
      <w:r w:rsidRPr="001B0CD8">
        <w:rPr>
          <w:sz w:val="28"/>
          <w:szCs w:val="28"/>
        </w:rPr>
        <w:t>-у 2018 році обсяг капітальних інвестицій (у фактичних цінах) склав 2069,067 млн.грн., індекс зростання до попереднього року склав 121,2%. О</w:t>
      </w:r>
      <w:r w:rsidRPr="001B0CD8">
        <w:rPr>
          <w:bCs/>
          <w:sz w:val="28"/>
          <w:szCs w:val="28"/>
        </w:rPr>
        <w:t>бсяг капітальних інвестицій у розрахунку на 1 особу населення  (без урахування коштів з державного бюджету) склав  6249,0 грн.</w:t>
      </w:r>
    </w:p>
    <w:p w:rsidR="001B0CD8" w:rsidRPr="001B0CD8" w:rsidRDefault="001B0CD8" w:rsidP="001B0CD8">
      <w:pPr>
        <w:ind w:firstLine="709"/>
        <w:jc w:val="both"/>
        <w:rPr>
          <w:bCs/>
          <w:sz w:val="28"/>
          <w:szCs w:val="28"/>
        </w:rPr>
      </w:pPr>
      <w:r w:rsidRPr="001B0CD8">
        <w:rPr>
          <w:sz w:val="28"/>
          <w:szCs w:val="28"/>
        </w:rPr>
        <w:t>За статистичними даними за січень-вересень 2019 року підприємствами міста Чернівців освоєно 1558,6 млн.грн. капітальних інвестицій, що на 523,9 млн.грн. або на 50,6% більше показника за аналогічний період 2018 року (1034,7 млн.грн.). О</w:t>
      </w:r>
      <w:r w:rsidRPr="001B0CD8">
        <w:rPr>
          <w:bCs/>
          <w:sz w:val="28"/>
          <w:szCs w:val="28"/>
        </w:rPr>
        <w:t>бсяг капітальних інвестицій у розрахунку на 1 особу населення  (без урахування коштів з державного бюджету) склав  5642,9 грн.</w:t>
      </w:r>
    </w:p>
    <w:p w:rsidR="001B0CD8" w:rsidRPr="001B0CD8" w:rsidRDefault="001B0CD8" w:rsidP="001B0CD8">
      <w:pPr>
        <w:ind w:firstLine="708"/>
        <w:jc w:val="both"/>
        <w:rPr>
          <w:sz w:val="28"/>
          <w:szCs w:val="28"/>
        </w:rPr>
      </w:pPr>
      <w:r w:rsidRPr="001B0CD8">
        <w:rPr>
          <w:sz w:val="28"/>
          <w:szCs w:val="28"/>
        </w:rPr>
        <w:t>Найбільш активна інвестиційна діяльність здійснювалась за рахунок власних коштів підприємств та організацій, питома вага яких у загальному обсязі капітальних інвестицій у 2017 році склала 38,7%, у       2018 році – 36,1%, у січні-вересні 2019 року – 33,4%. Також, у загальному обсязі капітальних інвестицій вагома частина припадає на кошти населення на будівництво житла, питома вага яких у загальному обсязі у 2017 році склала 25,25%, у 2018 році -18,8%, у січні-вересні 21019 року - 25,7%.</w:t>
      </w:r>
    </w:p>
    <w:p w:rsidR="001B0CD8" w:rsidRPr="001B0CD8" w:rsidRDefault="001B0CD8" w:rsidP="001B0CD8">
      <w:pPr>
        <w:pStyle w:val="a9"/>
        <w:ind w:left="0" w:firstLine="720"/>
        <w:rPr>
          <w:szCs w:val="28"/>
        </w:rPr>
      </w:pPr>
      <w:r w:rsidRPr="001B0CD8">
        <w:rPr>
          <w:szCs w:val="28"/>
        </w:rPr>
        <w:t xml:space="preserve">Важливим індикатором сфери інвестиційного розвитку є стан залучення іноземних інвестицій. Впродовж останніх років спостерігається позитивна </w:t>
      </w:r>
      <w:r w:rsidR="005A3FD1">
        <w:rPr>
          <w:szCs w:val="28"/>
        </w:rPr>
        <w:lastRenderedPageBreak/>
        <w:t>‘</w:t>
      </w:r>
      <w:r w:rsidRPr="001B0CD8">
        <w:rPr>
          <w:szCs w:val="28"/>
        </w:rPr>
        <w:t>динаміка надходження іноземних інвестицій в економіку міста Чернівців. Зокрема, якщо у 2017 році, за статистичними даними, іноземними інвесторами було вилучено 0,284 млн.дол.США., то у 2018 році іноземними інвесторами в економіку міста було вкладено 4,613 млн.дол.США. Впродовж січня-вересня 2019 року в економіку міста іноземними інвесторами було вкладено             5,297 млн.дол.США.</w:t>
      </w:r>
    </w:p>
    <w:p w:rsidR="001B0CD8" w:rsidRPr="001B0CD8" w:rsidRDefault="001B0CD8" w:rsidP="001B0CD8">
      <w:pPr>
        <w:ind w:firstLine="708"/>
        <w:jc w:val="both"/>
        <w:rPr>
          <w:sz w:val="28"/>
          <w:szCs w:val="28"/>
        </w:rPr>
      </w:pPr>
      <w:r w:rsidRPr="001B0CD8">
        <w:rPr>
          <w:sz w:val="28"/>
          <w:szCs w:val="28"/>
        </w:rPr>
        <w:t xml:space="preserve">Загальний обсяг прямих іноземних інвестицій (акціонерного капіталу), вкладених в економіку міста з початку інвестування, станом на 01.01.2017р. склав 18,178 млн.дол.США, станом на 01.01.2018р. - 17,019,млн.дол.США, станом на 01.01.2019р. - 20,35,3 млн.дол.США. За статистичними даними станом на 01.10.2019р. обсяг прямих іноземних інвестицій (акціонерного капіталу), внесених в економіку міста з початку інвестування, склав            26,773 млн.дол.США, що на 6,42 млн.дол.США або на 31,6% більше у порівнянні з показником на 01.01.2019р.  </w:t>
      </w:r>
    </w:p>
    <w:p w:rsidR="001B0CD8" w:rsidRPr="001B0CD8" w:rsidRDefault="001B0CD8" w:rsidP="001B0CD8">
      <w:pPr>
        <w:ind w:firstLine="709"/>
        <w:contextualSpacing/>
        <w:jc w:val="both"/>
        <w:rPr>
          <w:sz w:val="28"/>
          <w:szCs w:val="28"/>
        </w:rPr>
      </w:pPr>
      <w:r w:rsidRPr="001B0CD8">
        <w:rPr>
          <w:sz w:val="28"/>
          <w:szCs w:val="28"/>
        </w:rPr>
        <w:t>З початку інвестування прямі іноземні інвестиції надійшли з 31 країни світу. З країн Європейського Союзу внесено 24,21 млн.дол.США, що становить 90,4% від загального обсягу інвестицій, з інших країн світу внесено               2,57 млн.дол.США, що становить 9,6% від загального обсягу інвестицій. У структурі прямих іноземних інвестицій 21,1% зосереджено на промислових підприємствах, 26,6% - на підприємствах торгівлі та ремонту автотранспортних засобів,  37,1% - у сфері операцій з нерухомим майном.</w:t>
      </w:r>
    </w:p>
    <w:p w:rsidR="001B0CD8" w:rsidRPr="001B0CD8" w:rsidRDefault="001B0CD8" w:rsidP="001B0CD8">
      <w:pPr>
        <w:ind w:firstLine="709"/>
        <w:contextualSpacing/>
        <w:jc w:val="both"/>
        <w:rPr>
          <w:sz w:val="28"/>
          <w:szCs w:val="28"/>
        </w:rPr>
      </w:pPr>
      <w:r w:rsidRPr="001B0CD8">
        <w:rPr>
          <w:sz w:val="28"/>
          <w:szCs w:val="28"/>
        </w:rPr>
        <w:t xml:space="preserve">Обсяг прямих іноземних інвестицій у розрахунку на 1 особу наявного населення міста Чернівців станом на 01.10.2019р. склав 102,1 дол.США., що на 30,9% перевищує показник на 01.01.2019р. (78,3 дол.США). </w:t>
      </w:r>
    </w:p>
    <w:p w:rsidR="001B0CD8" w:rsidRPr="00BD1180" w:rsidRDefault="001B0CD8" w:rsidP="001B0CD8">
      <w:pPr>
        <w:shd w:val="clear" w:color="auto" w:fill="FFFFFF"/>
        <w:ind w:firstLine="737"/>
        <w:rPr>
          <w:sz w:val="28"/>
          <w:szCs w:val="28"/>
        </w:rPr>
      </w:pPr>
      <w:r w:rsidRPr="00BD1180">
        <w:rPr>
          <w:sz w:val="28"/>
          <w:szCs w:val="28"/>
        </w:rPr>
        <w:t>На даний час основними проблемними питаннями залучення інвестицій в економіку міста Чернівців є наступні:</w:t>
      </w:r>
    </w:p>
    <w:p w:rsidR="001B0CD8" w:rsidRDefault="001B0CD8" w:rsidP="001B0CD8">
      <w:pPr>
        <w:shd w:val="clear" w:color="auto" w:fill="FFFFFF"/>
        <w:ind w:firstLine="737"/>
        <w:jc w:val="both"/>
        <w:rPr>
          <w:sz w:val="28"/>
          <w:szCs w:val="28"/>
        </w:rPr>
      </w:pPr>
      <w:r>
        <w:rPr>
          <w:sz w:val="28"/>
          <w:szCs w:val="28"/>
        </w:rPr>
        <w:t>-</w:t>
      </w:r>
      <w:r w:rsidRPr="00701D7B">
        <w:rPr>
          <w:sz w:val="28"/>
          <w:szCs w:val="28"/>
        </w:rPr>
        <w:t xml:space="preserve">недосконалість існуючої правової бази для здійснення інвестиційної діяльності (з  питань захисту права власності,  адміністрування </w:t>
      </w:r>
      <w:r w:rsidRPr="00701D7B">
        <w:rPr>
          <w:sz w:val="28"/>
          <w:szCs w:val="28"/>
        </w:rPr>
        <w:br/>
        <w:t xml:space="preserve">податків,  отримання у власність  земельних  ділянок,  провадження </w:t>
      </w:r>
      <w:r w:rsidRPr="00701D7B">
        <w:rPr>
          <w:sz w:val="28"/>
          <w:szCs w:val="28"/>
        </w:rPr>
        <w:br/>
        <w:t>підприємницької діяльності та здійснення контролю за нею),    суперечливість,  неповнота та неоднозначність трактування чинних законів і нормативно-правових актів, наявність значної кількості відомчих документів;</w:t>
      </w:r>
    </w:p>
    <w:p w:rsidR="001B0CD8" w:rsidRDefault="001B0CD8" w:rsidP="001B0CD8">
      <w:pPr>
        <w:shd w:val="clear" w:color="auto" w:fill="FFFFFF"/>
        <w:ind w:firstLine="737"/>
        <w:jc w:val="both"/>
        <w:rPr>
          <w:sz w:val="28"/>
          <w:szCs w:val="28"/>
        </w:rPr>
      </w:pPr>
      <w:r>
        <w:rPr>
          <w:sz w:val="28"/>
          <w:szCs w:val="28"/>
        </w:rPr>
        <w:t>-</w:t>
      </w:r>
      <w:r w:rsidRPr="00701D7B">
        <w:rPr>
          <w:sz w:val="28"/>
          <w:szCs w:val="28"/>
        </w:rPr>
        <w:t>економічна та фінансова нестабільність, неврегульованість питань фінансування та кредитування (високі процентні ставки на кредити, завищені вимоги банків до кредиторів, складна процедура оформлення кредиту); недостатня розвиненість ринків капіталу, в першу чергу, банківського сектору, фондового та страхового ринків;</w:t>
      </w:r>
    </w:p>
    <w:p w:rsidR="001B0CD8" w:rsidRDefault="001B0CD8" w:rsidP="001B0CD8">
      <w:pPr>
        <w:shd w:val="clear" w:color="auto" w:fill="FFFFFF"/>
        <w:ind w:firstLine="737"/>
        <w:jc w:val="both"/>
        <w:rPr>
          <w:sz w:val="28"/>
          <w:szCs w:val="28"/>
        </w:rPr>
      </w:pPr>
      <w:r>
        <w:rPr>
          <w:sz w:val="28"/>
          <w:szCs w:val="28"/>
        </w:rPr>
        <w:t>-</w:t>
      </w:r>
      <w:r w:rsidRPr="00701D7B">
        <w:rPr>
          <w:sz w:val="28"/>
          <w:szCs w:val="28"/>
        </w:rPr>
        <w:t>недостатній рівень    державної    підтримки    інвестиційної діяльності,  недосконалість   системи   підготовки інвестиційних програм і проектів для надання державної підтримки;</w:t>
      </w:r>
    </w:p>
    <w:p w:rsidR="001B0CD8" w:rsidRDefault="001B0CD8" w:rsidP="001B0CD8">
      <w:pPr>
        <w:shd w:val="clear" w:color="auto" w:fill="FFFFFF"/>
        <w:ind w:firstLine="737"/>
        <w:jc w:val="both"/>
        <w:rPr>
          <w:sz w:val="28"/>
          <w:szCs w:val="28"/>
        </w:rPr>
      </w:pPr>
      <w:r>
        <w:rPr>
          <w:sz w:val="28"/>
          <w:szCs w:val="28"/>
        </w:rPr>
        <w:t>-</w:t>
      </w:r>
      <w:r w:rsidRPr="00701D7B">
        <w:rPr>
          <w:sz w:val="28"/>
          <w:szCs w:val="28"/>
        </w:rPr>
        <w:t xml:space="preserve">відсутність дієвих механізмів державно-приватного партнерства </w:t>
      </w:r>
      <w:r w:rsidRPr="00701D7B">
        <w:rPr>
          <w:sz w:val="28"/>
          <w:szCs w:val="28"/>
        </w:rPr>
        <w:br/>
        <w:t>в інвестуванні;</w:t>
      </w:r>
    </w:p>
    <w:p w:rsidR="001B0CD8" w:rsidRDefault="001B0CD8" w:rsidP="001B0CD8">
      <w:pPr>
        <w:shd w:val="clear" w:color="auto" w:fill="FFFFFF"/>
        <w:ind w:firstLine="737"/>
        <w:jc w:val="both"/>
        <w:rPr>
          <w:sz w:val="28"/>
          <w:szCs w:val="28"/>
        </w:rPr>
      </w:pPr>
      <w:r>
        <w:rPr>
          <w:sz w:val="28"/>
          <w:szCs w:val="28"/>
        </w:rPr>
        <w:t>-</w:t>
      </w:r>
      <w:r w:rsidRPr="00701D7B">
        <w:rPr>
          <w:sz w:val="28"/>
          <w:szCs w:val="28"/>
        </w:rPr>
        <w:t>недостатня інформатизація та доступність даних як про об’єкти інвестицій, так і про процес оформлення інвестицій;</w:t>
      </w:r>
    </w:p>
    <w:p w:rsidR="001B0CD8" w:rsidRDefault="001B0CD8" w:rsidP="001B0CD8">
      <w:pPr>
        <w:shd w:val="clear" w:color="auto" w:fill="FFFFFF"/>
        <w:ind w:firstLine="737"/>
        <w:jc w:val="both"/>
        <w:rPr>
          <w:sz w:val="28"/>
          <w:szCs w:val="28"/>
        </w:rPr>
      </w:pPr>
      <w:r>
        <w:rPr>
          <w:sz w:val="28"/>
          <w:szCs w:val="28"/>
        </w:rPr>
        <w:t>-</w:t>
      </w:r>
      <w:r w:rsidRPr="00701D7B">
        <w:rPr>
          <w:sz w:val="28"/>
          <w:szCs w:val="28"/>
        </w:rPr>
        <w:t>низька частка зовнішніх інвестицій, в тому числі іноземних, в загальному обсязі інвестування економіки;</w:t>
      </w:r>
    </w:p>
    <w:p w:rsidR="001B0CD8" w:rsidRDefault="001B0CD8" w:rsidP="001B0CD8">
      <w:pPr>
        <w:shd w:val="clear" w:color="auto" w:fill="FFFFFF"/>
        <w:ind w:firstLine="737"/>
        <w:jc w:val="both"/>
        <w:rPr>
          <w:sz w:val="28"/>
          <w:szCs w:val="28"/>
        </w:rPr>
      </w:pPr>
      <w:r>
        <w:rPr>
          <w:sz w:val="28"/>
          <w:szCs w:val="28"/>
        </w:rPr>
        <w:lastRenderedPageBreak/>
        <w:t xml:space="preserve">-відсутність системного підходу до управління інвестиційною діяльністю, зокрема, </w:t>
      </w:r>
      <w:r w:rsidRPr="00701D7B">
        <w:rPr>
          <w:sz w:val="28"/>
          <w:szCs w:val="28"/>
        </w:rPr>
        <w:t>чіткої системи супроводження інвестиційних проектів на всіх стадіях його реалізації з боку органів місцевої влади;</w:t>
      </w:r>
    </w:p>
    <w:p w:rsidR="001B0CD8" w:rsidRDefault="001B0CD8" w:rsidP="001B0CD8">
      <w:pPr>
        <w:shd w:val="clear" w:color="auto" w:fill="FFFFFF"/>
        <w:ind w:firstLine="737"/>
        <w:jc w:val="both"/>
        <w:rPr>
          <w:sz w:val="28"/>
          <w:szCs w:val="28"/>
        </w:rPr>
      </w:pPr>
      <w:r>
        <w:rPr>
          <w:sz w:val="28"/>
          <w:szCs w:val="28"/>
        </w:rPr>
        <w:t>-</w:t>
      </w:r>
      <w:r w:rsidRPr="00701D7B">
        <w:rPr>
          <w:sz w:val="28"/>
          <w:szCs w:val="28"/>
        </w:rPr>
        <w:t>незначна кількість якісно розроблених інфраструктурних інвестиційних проектів, які б могли претендувати на залучення міжнародних інвестиційних ресурсів</w:t>
      </w:r>
      <w:r>
        <w:rPr>
          <w:sz w:val="28"/>
          <w:szCs w:val="28"/>
        </w:rPr>
        <w:t>;</w:t>
      </w:r>
    </w:p>
    <w:p w:rsidR="001B0CD8" w:rsidRDefault="001B0CD8" w:rsidP="001B0CD8">
      <w:pPr>
        <w:shd w:val="clear" w:color="auto" w:fill="FFFFFF"/>
        <w:ind w:firstLine="737"/>
        <w:jc w:val="both"/>
        <w:rPr>
          <w:sz w:val="28"/>
          <w:szCs w:val="28"/>
        </w:rPr>
      </w:pPr>
      <w:r>
        <w:rPr>
          <w:sz w:val="28"/>
          <w:szCs w:val="28"/>
        </w:rPr>
        <w:t>-обмеженість дієвих механізмів підтримки міською владою діючих та потенційних інвесторів, в т.ч. суб’єктів малого та середнього підприємництва.</w:t>
      </w:r>
    </w:p>
    <w:p w:rsidR="001B0CD8" w:rsidRDefault="001B0CD8" w:rsidP="001B0CD8">
      <w:pPr>
        <w:autoSpaceDE w:val="0"/>
        <w:autoSpaceDN w:val="0"/>
        <w:adjustRightInd w:val="0"/>
        <w:ind w:firstLine="708"/>
        <w:jc w:val="both"/>
        <w:rPr>
          <w:sz w:val="28"/>
          <w:szCs w:val="28"/>
        </w:rPr>
      </w:pPr>
      <w:r>
        <w:rPr>
          <w:sz w:val="28"/>
          <w:szCs w:val="28"/>
        </w:rPr>
        <w:t xml:space="preserve">Вирішення зазначеної проблеми на місцевому рівні потребує від міської влади розроблення комплексу дієвих заходів щодо </w:t>
      </w:r>
      <w:r w:rsidRPr="00355110">
        <w:rPr>
          <w:sz w:val="28"/>
          <w:szCs w:val="28"/>
        </w:rPr>
        <w:t>створення</w:t>
      </w:r>
      <w:r>
        <w:rPr>
          <w:sz w:val="28"/>
          <w:szCs w:val="28"/>
        </w:rPr>
        <w:t xml:space="preserve"> сприятливих </w:t>
      </w:r>
      <w:r w:rsidRPr="00355110">
        <w:rPr>
          <w:sz w:val="28"/>
          <w:szCs w:val="28"/>
        </w:rPr>
        <w:t>умов для залучення інвестиційних ресурсів для соціально-економічного розвитку міста</w:t>
      </w:r>
      <w:r>
        <w:rPr>
          <w:sz w:val="28"/>
          <w:szCs w:val="28"/>
        </w:rPr>
        <w:t xml:space="preserve"> Чернівців</w:t>
      </w:r>
      <w:r w:rsidRPr="00355110">
        <w:rPr>
          <w:sz w:val="28"/>
          <w:szCs w:val="28"/>
        </w:rPr>
        <w:t xml:space="preserve"> через впровадження ефективних механізмів формування привабливого інвестиційного іміджу </w:t>
      </w:r>
      <w:r>
        <w:rPr>
          <w:sz w:val="28"/>
          <w:szCs w:val="28"/>
        </w:rPr>
        <w:t xml:space="preserve">міста </w:t>
      </w:r>
      <w:r w:rsidRPr="00355110">
        <w:rPr>
          <w:sz w:val="28"/>
          <w:szCs w:val="28"/>
        </w:rPr>
        <w:t xml:space="preserve"> та підтримки інвестиційної діяльності</w:t>
      </w:r>
      <w:r>
        <w:rPr>
          <w:sz w:val="28"/>
          <w:szCs w:val="28"/>
        </w:rPr>
        <w:t>,</w:t>
      </w:r>
      <w:r w:rsidRPr="00355110">
        <w:rPr>
          <w:sz w:val="28"/>
          <w:szCs w:val="28"/>
        </w:rPr>
        <w:t xml:space="preserve"> безпосереднього збільшення обсягів прямих іноземних інвестицій в економіку міста</w:t>
      </w:r>
      <w:r>
        <w:rPr>
          <w:sz w:val="28"/>
          <w:szCs w:val="28"/>
        </w:rPr>
        <w:t>, розроблення інвестиційних пропозицій та їх просування на національному та міжнародному ринках, позиціонування міста Чернівці</w:t>
      </w:r>
      <w:r w:rsidRPr="00355110">
        <w:rPr>
          <w:sz w:val="28"/>
          <w:szCs w:val="28"/>
        </w:rPr>
        <w:t xml:space="preserve"> у </w:t>
      </w:r>
      <w:r>
        <w:rPr>
          <w:sz w:val="28"/>
          <w:szCs w:val="28"/>
        </w:rPr>
        <w:t xml:space="preserve">національному та </w:t>
      </w:r>
      <w:r w:rsidRPr="00355110">
        <w:rPr>
          <w:sz w:val="28"/>
          <w:szCs w:val="28"/>
        </w:rPr>
        <w:t xml:space="preserve">світовому економічному середовищі як надійного партнера та перспективної території для ведення бізнесу, в тому числі через започаткування нових та поглиблення існуючих зв’язків міста з містами і регіонами </w:t>
      </w:r>
      <w:r>
        <w:rPr>
          <w:sz w:val="28"/>
          <w:szCs w:val="28"/>
        </w:rPr>
        <w:t xml:space="preserve">України, іншими країнами, </w:t>
      </w:r>
      <w:r w:rsidRPr="00355110">
        <w:rPr>
          <w:sz w:val="28"/>
          <w:szCs w:val="28"/>
        </w:rPr>
        <w:t>міжнародними організаціями</w:t>
      </w:r>
      <w:r>
        <w:rPr>
          <w:sz w:val="28"/>
          <w:szCs w:val="28"/>
        </w:rPr>
        <w:t xml:space="preserve"> та фінансовими інституціями.</w:t>
      </w:r>
    </w:p>
    <w:p w:rsidR="001B0CD8" w:rsidRDefault="001B0CD8" w:rsidP="001B0CD8">
      <w:pPr>
        <w:autoSpaceDE w:val="0"/>
        <w:autoSpaceDN w:val="0"/>
        <w:adjustRightInd w:val="0"/>
        <w:ind w:firstLine="708"/>
        <w:jc w:val="both"/>
        <w:rPr>
          <w:color w:val="333333"/>
          <w:sz w:val="28"/>
          <w:szCs w:val="28"/>
        </w:rPr>
      </w:pPr>
      <w:r w:rsidRPr="004C1502">
        <w:rPr>
          <w:sz w:val="28"/>
          <w:szCs w:val="28"/>
        </w:rPr>
        <w:t xml:space="preserve">З метою визначення шляхів вирішення зазначених проблем, </w:t>
      </w:r>
      <w:bookmarkStart w:id="1" w:name="25"/>
      <w:bookmarkEnd w:id="1"/>
      <w:r>
        <w:rPr>
          <w:sz w:val="28"/>
          <w:szCs w:val="28"/>
        </w:rPr>
        <w:t>створення сприятливого середовища</w:t>
      </w:r>
      <w:r w:rsidRPr="004C1502">
        <w:rPr>
          <w:sz w:val="28"/>
          <w:szCs w:val="28"/>
        </w:rPr>
        <w:t xml:space="preserve"> для функціонування всіх учасників інвестиційного процесу, покращення інвестиційного клімату міста Чернівців, створення </w:t>
      </w:r>
      <w:r w:rsidRPr="00BD1180">
        <w:rPr>
          <w:sz w:val="28"/>
          <w:szCs w:val="28"/>
        </w:rPr>
        <w:t xml:space="preserve">ефективної системи залучення інвестицій, збільшення надходжень до міського бюджету від інвестування, </w:t>
      </w:r>
      <w:r w:rsidRPr="00BD1180">
        <w:rPr>
          <w:color w:val="000000"/>
          <w:sz w:val="28"/>
          <w:szCs w:val="28"/>
        </w:rPr>
        <w:t xml:space="preserve">департаментом розвитку Чернівецької міської ради розроблена Програма розвитку інвестиційної діяльності в місті Чернівцях на 2020-2023 роки (далі – Програма), яка </w:t>
      </w:r>
      <w:r w:rsidRPr="00BD1180">
        <w:rPr>
          <w:sz w:val="28"/>
          <w:szCs w:val="28"/>
        </w:rPr>
        <w:t>визначає</w:t>
      </w:r>
      <w:r w:rsidRPr="00BD1180">
        <w:rPr>
          <w:color w:val="000000"/>
          <w:sz w:val="28"/>
          <w:szCs w:val="28"/>
        </w:rPr>
        <w:t xml:space="preserve"> основні засади здійснення місцевої інвестиційної політики на основі покращення інвестиційної</w:t>
      </w:r>
      <w:r w:rsidRPr="004C1502">
        <w:rPr>
          <w:color w:val="000000"/>
          <w:sz w:val="28"/>
          <w:szCs w:val="28"/>
        </w:rPr>
        <w:t xml:space="preserve"> привабливості та активізації інвестиційних процесів в місті Чернівцях</w:t>
      </w:r>
      <w:r w:rsidRPr="004C1502">
        <w:rPr>
          <w:color w:val="333333"/>
          <w:sz w:val="28"/>
          <w:szCs w:val="28"/>
        </w:rPr>
        <w:t>.</w:t>
      </w:r>
    </w:p>
    <w:p w:rsidR="001B0CD8" w:rsidRDefault="001B0CD8" w:rsidP="001B0CD8">
      <w:pPr>
        <w:autoSpaceDE w:val="0"/>
        <w:autoSpaceDN w:val="0"/>
        <w:adjustRightInd w:val="0"/>
        <w:ind w:firstLine="708"/>
        <w:jc w:val="both"/>
        <w:rPr>
          <w:color w:val="333333"/>
          <w:sz w:val="28"/>
          <w:szCs w:val="28"/>
        </w:rPr>
      </w:pPr>
    </w:p>
    <w:p w:rsidR="001B0CD8" w:rsidRPr="00C136CC" w:rsidRDefault="001B0CD8" w:rsidP="001B0CD8">
      <w:pPr>
        <w:autoSpaceDE w:val="0"/>
        <w:autoSpaceDN w:val="0"/>
        <w:adjustRightInd w:val="0"/>
        <w:ind w:firstLine="708"/>
        <w:jc w:val="center"/>
        <w:rPr>
          <w:b/>
          <w:bCs/>
          <w:color w:val="000000"/>
          <w:sz w:val="28"/>
          <w:szCs w:val="28"/>
        </w:rPr>
      </w:pPr>
      <w:r w:rsidRPr="00C136CC">
        <w:rPr>
          <w:b/>
          <w:color w:val="000000"/>
          <w:sz w:val="28"/>
          <w:szCs w:val="28"/>
        </w:rPr>
        <w:t>3.</w:t>
      </w:r>
      <w:r w:rsidRPr="00C136CC">
        <w:rPr>
          <w:b/>
          <w:bCs/>
          <w:color w:val="000000"/>
          <w:sz w:val="28"/>
          <w:szCs w:val="28"/>
        </w:rPr>
        <w:t>Мета Програми.</w:t>
      </w:r>
    </w:p>
    <w:p w:rsidR="001B0CD8" w:rsidRDefault="001B0CD8" w:rsidP="001B0CD8">
      <w:pPr>
        <w:autoSpaceDE w:val="0"/>
        <w:autoSpaceDN w:val="0"/>
        <w:adjustRightInd w:val="0"/>
        <w:ind w:firstLine="708"/>
        <w:jc w:val="both"/>
        <w:rPr>
          <w:b/>
          <w:bCs/>
          <w:color w:val="FF0000"/>
          <w:sz w:val="28"/>
          <w:szCs w:val="28"/>
        </w:rPr>
      </w:pPr>
    </w:p>
    <w:p w:rsidR="001B0CD8" w:rsidRDefault="001B0CD8" w:rsidP="001B0CD8">
      <w:pPr>
        <w:ind w:firstLine="720"/>
        <w:jc w:val="both"/>
        <w:rPr>
          <w:sz w:val="28"/>
          <w:szCs w:val="28"/>
        </w:rPr>
      </w:pPr>
      <w:r w:rsidRPr="00355110">
        <w:rPr>
          <w:sz w:val="28"/>
          <w:szCs w:val="28"/>
        </w:rPr>
        <w:t xml:space="preserve">Метою </w:t>
      </w:r>
      <w:r w:rsidRPr="00691DFE">
        <w:rPr>
          <w:sz w:val="28"/>
          <w:szCs w:val="28"/>
        </w:rPr>
        <w:t>Програми є створення</w:t>
      </w:r>
      <w:r w:rsidRPr="00355110">
        <w:rPr>
          <w:sz w:val="28"/>
          <w:szCs w:val="28"/>
        </w:rPr>
        <w:t xml:space="preserve"> умов для залучення інвестиційних ресурсів для</w:t>
      </w:r>
      <w:r>
        <w:rPr>
          <w:sz w:val="28"/>
          <w:szCs w:val="28"/>
        </w:rPr>
        <w:t xml:space="preserve"> сталого</w:t>
      </w:r>
      <w:r w:rsidRPr="00355110">
        <w:rPr>
          <w:sz w:val="28"/>
          <w:szCs w:val="28"/>
        </w:rPr>
        <w:t xml:space="preserve"> соціально-економічного розвитку</w:t>
      </w:r>
      <w:r>
        <w:rPr>
          <w:sz w:val="28"/>
          <w:szCs w:val="28"/>
        </w:rPr>
        <w:t xml:space="preserve"> та покращення добробуту територіальної громади міста Чернівців</w:t>
      </w:r>
      <w:r w:rsidRPr="00355110">
        <w:rPr>
          <w:sz w:val="28"/>
          <w:szCs w:val="28"/>
        </w:rPr>
        <w:t xml:space="preserve"> через впровадження ефективних механізмів формування привабливого інвестиційного іміджу м</w:t>
      </w:r>
      <w:r>
        <w:rPr>
          <w:sz w:val="28"/>
          <w:szCs w:val="28"/>
        </w:rPr>
        <w:t>іста Чернівців</w:t>
      </w:r>
      <w:r w:rsidRPr="00355110">
        <w:rPr>
          <w:sz w:val="28"/>
          <w:szCs w:val="28"/>
        </w:rPr>
        <w:t xml:space="preserve"> та підтримки інвестиційної діяльності </w:t>
      </w:r>
      <w:r>
        <w:rPr>
          <w:sz w:val="28"/>
          <w:szCs w:val="28"/>
        </w:rPr>
        <w:t>в місті,</w:t>
      </w:r>
      <w:r w:rsidRPr="00355110">
        <w:rPr>
          <w:sz w:val="28"/>
          <w:szCs w:val="28"/>
        </w:rPr>
        <w:t xml:space="preserve"> збільшення обсягів прямих іноземних інвестицій в економіку міста</w:t>
      </w:r>
      <w:r>
        <w:rPr>
          <w:sz w:val="28"/>
          <w:szCs w:val="28"/>
        </w:rPr>
        <w:t xml:space="preserve">, </w:t>
      </w:r>
      <w:r w:rsidRPr="00355110">
        <w:rPr>
          <w:sz w:val="28"/>
          <w:szCs w:val="28"/>
        </w:rPr>
        <w:t xml:space="preserve">створення </w:t>
      </w:r>
      <w:r>
        <w:rPr>
          <w:sz w:val="28"/>
          <w:szCs w:val="28"/>
        </w:rPr>
        <w:t xml:space="preserve">привабливих інвестиційних продуктів та їх </w:t>
      </w:r>
      <w:r w:rsidRPr="00355110">
        <w:rPr>
          <w:sz w:val="28"/>
          <w:szCs w:val="28"/>
        </w:rPr>
        <w:t>просування</w:t>
      </w:r>
      <w:r>
        <w:rPr>
          <w:sz w:val="28"/>
          <w:szCs w:val="28"/>
        </w:rPr>
        <w:t xml:space="preserve"> на національному та міжнародному ринках, позиціонування міста Чернівці</w:t>
      </w:r>
      <w:r w:rsidRPr="00355110">
        <w:rPr>
          <w:sz w:val="28"/>
          <w:szCs w:val="28"/>
        </w:rPr>
        <w:t xml:space="preserve"> у</w:t>
      </w:r>
      <w:r>
        <w:rPr>
          <w:sz w:val="28"/>
          <w:szCs w:val="28"/>
        </w:rPr>
        <w:t xml:space="preserve"> бізнес-середовищі</w:t>
      </w:r>
      <w:r w:rsidRPr="00355110">
        <w:rPr>
          <w:sz w:val="28"/>
          <w:szCs w:val="28"/>
        </w:rPr>
        <w:t xml:space="preserve"> як надійного партнера та перспективної території для</w:t>
      </w:r>
      <w:r>
        <w:rPr>
          <w:sz w:val="28"/>
          <w:szCs w:val="28"/>
        </w:rPr>
        <w:t xml:space="preserve"> інвестування та</w:t>
      </w:r>
      <w:r w:rsidRPr="00355110">
        <w:rPr>
          <w:sz w:val="28"/>
          <w:szCs w:val="28"/>
        </w:rPr>
        <w:t xml:space="preserve"> ведення бізнесу</w:t>
      </w:r>
      <w:r>
        <w:rPr>
          <w:sz w:val="28"/>
          <w:szCs w:val="28"/>
        </w:rPr>
        <w:t xml:space="preserve">, </w:t>
      </w:r>
      <w:r w:rsidRPr="00B634FA">
        <w:rPr>
          <w:sz w:val="28"/>
          <w:szCs w:val="28"/>
        </w:rPr>
        <w:t>а також поширенн</w:t>
      </w:r>
      <w:r>
        <w:rPr>
          <w:sz w:val="28"/>
          <w:szCs w:val="28"/>
        </w:rPr>
        <w:t>я</w:t>
      </w:r>
      <w:r w:rsidRPr="00B634FA">
        <w:rPr>
          <w:sz w:val="28"/>
          <w:szCs w:val="28"/>
        </w:rPr>
        <w:t xml:space="preserve"> інформації про інвестиційні можливості міста </w:t>
      </w:r>
      <w:r>
        <w:rPr>
          <w:sz w:val="28"/>
          <w:szCs w:val="28"/>
        </w:rPr>
        <w:t xml:space="preserve">Чернівців </w:t>
      </w:r>
      <w:r w:rsidRPr="00B634FA">
        <w:rPr>
          <w:sz w:val="28"/>
          <w:szCs w:val="28"/>
        </w:rPr>
        <w:t>серед міжнародних інвестиційних фондів та компаній, створенню передумов для вкладення інвестицій в місто.</w:t>
      </w:r>
    </w:p>
    <w:p w:rsidR="001B0CD8" w:rsidRDefault="001B0CD8" w:rsidP="001B0CD8">
      <w:pPr>
        <w:ind w:firstLine="720"/>
        <w:jc w:val="both"/>
        <w:rPr>
          <w:sz w:val="28"/>
          <w:szCs w:val="28"/>
        </w:rPr>
      </w:pPr>
    </w:p>
    <w:p w:rsidR="001B0CD8" w:rsidRDefault="001B0CD8" w:rsidP="001B0CD8">
      <w:pPr>
        <w:ind w:firstLine="720"/>
        <w:jc w:val="both"/>
        <w:rPr>
          <w:sz w:val="28"/>
          <w:szCs w:val="28"/>
        </w:rPr>
      </w:pPr>
    </w:p>
    <w:p w:rsidR="001B0CD8" w:rsidRDefault="001B0CD8" w:rsidP="001B0CD8">
      <w:pPr>
        <w:ind w:firstLine="720"/>
        <w:jc w:val="both"/>
        <w:rPr>
          <w:sz w:val="28"/>
          <w:szCs w:val="28"/>
        </w:rPr>
      </w:pPr>
    </w:p>
    <w:p w:rsidR="001B0CD8" w:rsidRPr="00C136CC" w:rsidRDefault="001B0CD8" w:rsidP="001B0CD8">
      <w:pPr>
        <w:ind w:firstLine="708"/>
        <w:jc w:val="center"/>
        <w:rPr>
          <w:b/>
          <w:color w:val="000000"/>
          <w:sz w:val="28"/>
          <w:szCs w:val="28"/>
        </w:rPr>
      </w:pPr>
      <w:r w:rsidRPr="00C136CC">
        <w:rPr>
          <w:b/>
          <w:color w:val="000000"/>
          <w:sz w:val="28"/>
          <w:szCs w:val="28"/>
        </w:rPr>
        <w:lastRenderedPageBreak/>
        <w:t xml:space="preserve">4.Шляхи і засоби розв’язання проблеми, </w:t>
      </w:r>
    </w:p>
    <w:p w:rsidR="001B0CD8" w:rsidRPr="00C136CC" w:rsidRDefault="001B0CD8" w:rsidP="001B0CD8">
      <w:pPr>
        <w:ind w:firstLine="708"/>
        <w:jc w:val="center"/>
        <w:rPr>
          <w:b/>
          <w:color w:val="000000"/>
          <w:sz w:val="28"/>
          <w:szCs w:val="28"/>
        </w:rPr>
      </w:pPr>
      <w:r w:rsidRPr="00C136CC">
        <w:rPr>
          <w:b/>
          <w:color w:val="000000"/>
          <w:sz w:val="28"/>
          <w:szCs w:val="28"/>
        </w:rPr>
        <w:t>строки та етапи виконання Програми</w:t>
      </w:r>
    </w:p>
    <w:p w:rsidR="001B0CD8" w:rsidRDefault="001B0CD8" w:rsidP="001B0CD8">
      <w:pPr>
        <w:ind w:firstLine="720"/>
        <w:jc w:val="both"/>
        <w:rPr>
          <w:sz w:val="28"/>
          <w:szCs w:val="28"/>
        </w:rPr>
      </w:pPr>
    </w:p>
    <w:p w:rsidR="001B0CD8" w:rsidRPr="00691DFE" w:rsidRDefault="001B0CD8" w:rsidP="001B0CD8">
      <w:pPr>
        <w:pStyle w:val="a8"/>
        <w:ind w:firstLine="708"/>
        <w:jc w:val="both"/>
        <w:rPr>
          <w:rFonts w:ascii="Times New Roman" w:hAnsi="Times New Roman"/>
          <w:sz w:val="28"/>
          <w:szCs w:val="28"/>
          <w:lang w:val="uk-UA"/>
        </w:rPr>
      </w:pPr>
      <w:r w:rsidRPr="00091245">
        <w:rPr>
          <w:rFonts w:ascii="Times New Roman" w:hAnsi="Times New Roman"/>
          <w:color w:val="000000"/>
          <w:sz w:val="28"/>
          <w:szCs w:val="28"/>
          <w:lang w:val="uk-UA"/>
        </w:rPr>
        <w:t xml:space="preserve">Однією із основних умов розв’язання існуючих проблем розвитку міста Чернівців, в т.ч. активізації інвестиційної діяльності, є формування чіткої стратегії розвитку міста на середньострокову перспективу,  визначення пріоритетних галузей економіки, інфраструктури та соціальної сфери, які потребують залучення інвестиційних ресурсів, та створення сприятливих умов для інвестиційної діяльності в місті Чернівцях, в тому числі, за рахунок всебічного використання </w:t>
      </w:r>
      <w:r w:rsidRPr="00691DFE">
        <w:rPr>
          <w:rFonts w:ascii="Times New Roman" w:hAnsi="Times New Roman"/>
          <w:sz w:val="28"/>
          <w:szCs w:val="28"/>
          <w:lang w:val="uk-UA"/>
        </w:rPr>
        <w:t xml:space="preserve">конкурентних переваг міста Чернівців та розроблення дієвих механізмів стимулювання інвесторів щодо здійснення інвестиційної діяльності в місті Чернівцях.  </w:t>
      </w:r>
    </w:p>
    <w:p w:rsidR="001B0CD8" w:rsidRPr="00691DFE" w:rsidRDefault="001B0CD8" w:rsidP="001B0CD8">
      <w:pPr>
        <w:ind w:firstLine="708"/>
        <w:jc w:val="both"/>
        <w:rPr>
          <w:color w:val="000000"/>
          <w:sz w:val="28"/>
          <w:szCs w:val="28"/>
        </w:rPr>
      </w:pPr>
      <w:r w:rsidRPr="00091245">
        <w:rPr>
          <w:color w:val="000000"/>
          <w:sz w:val="28"/>
          <w:szCs w:val="28"/>
        </w:rPr>
        <w:t>Чернівецькою міською радою затверджені документи, які визначають основні стратегічні напрями розвитку міста Чернівців та окремих сфер життєдіяльності міста.</w:t>
      </w:r>
    </w:p>
    <w:p w:rsidR="001B0CD8" w:rsidRPr="00091245" w:rsidRDefault="001B0CD8" w:rsidP="001B0CD8">
      <w:pPr>
        <w:ind w:firstLine="720"/>
        <w:jc w:val="both"/>
        <w:rPr>
          <w:color w:val="000000"/>
          <w:sz w:val="26"/>
          <w:szCs w:val="26"/>
        </w:rPr>
      </w:pPr>
      <w:r w:rsidRPr="00691DFE">
        <w:rPr>
          <w:color w:val="000000"/>
          <w:sz w:val="26"/>
          <w:szCs w:val="26"/>
        </w:rPr>
        <w:t>Рішенням міської ради від 25.09.2015р. затверджена Інтегрована концепція розвитку середмістя Чернівців до 2030 року. Концепція розроблена за сприяння Німецького бюро міжнародного співробітництва GIZ та визначає стратегію сталого розвитку  середмістя Чернівців до 2030 року.  В Концепції визначені наступні напрями розвитку міста Чернівців: містобудування та житло, транспорт, технічна інфраструктура, культура та культурна спадщина, освіта, наука та соціальна політика</w:t>
      </w:r>
      <w:r w:rsidRPr="00091245">
        <w:rPr>
          <w:color w:val="000000"/>
          <w:sz w:val="26"/>
          <w:szCs w:val="26"/>
        </w:rPr>
        <w:t>, економіка та ринок праці, туризм, громадський простір, екологія, клімат та енергоефективність, модернізація управління. По кожному напряму розвитку визначені цілі, заходи та проекти, спрямовані на досягнення визначених цілей.</w:t>
      </w:r>
    </w:p>
    <w:p w:rsidR="001B0CD8" w:rsidRPr="00691DFE" w:rsidRDefault="001B0CD8" w:rsidP="001B0CD8">
      <w:pPr>
        <w:ind w:firstLine="720"/>
        <w:jc w:val="both"/>
        <w:rPr>
          <w:color w:val="000000"/>
          <w:sz w:val="26"/>
          <w:szCs w:val="26"/>
        </w:rPr>
      </w:pPr>
      <w:r w:rsidRPr="00091245">
        <w:rPr>
          <w:color w:val="000000"/>
          <w:sz w:val="26"/>
          <w:szCs w:val="26"/>
        </w:rPr>
        <w:t xml:space="preserve">В рамках реалізації  </w:t>
      </w:r>
      <w:r w:rsidRPr="00691DFE">
        <w:rPr>
          <w:color w:val="000000"/>
          <w:sz w:val="26"/>
          <w:szCs w:val="26"/>
        </w:rPr>
        <w:t xml:space="preserve">проекту «Інтегрований розвиток міст в Україні», у співпраці з Німецьким бюро міжнародного співробітництва GIZ розроблений проект «Інтегрованої концепції розвитку Чернівців 2030», яка </w:t>
      </w:r>
      <w:r w:rsidRPr="00691DFE">
        <w:rPr>
          <w:color w:val="000000"/>
          <w:sz w:val="28"/>
          <w:szCs w:val="28"/>
        </w:rPr>
        <w:t>затверджена  рішенням міської ради від 20.06.2019р. №1728</w:t>
      </w:r>
      <w:r w:rsidRPr="00691DFE">
        <w:rPr>
          <w:color w:val="000000"/>
          <w:sz w:val="26"/>
          <w:szCs w:val="26"/>
        </w:rPr>
        <w:t>. Завданням зазначеної Концепції визначено успішний та сталий розвиток міста Чернівців. У Концепції сформульовані принципи, цілі розвитку і загальні завдання, на основі яких розроблені конкретні проекти та заходи розвитку міста в наступних напрямах: містобудування та житло, мобільність, технічна інфраструктур, культура та культурна спадщина, освіта, наука та соціальна політика, економіка та ринок праці, туризм, громадський простір та озеленення, охорона довкілля та клімат, модернізація управління. Окремою складовою «Інтегрованої концепції розвитку Чернівців 2030» є «Концепція сталого розвитку транспорту та мобільності Чернівців 2030», яка спрямована на розбудову дорожньої та транспортної інфраструктури міста.</w:t>
      </w:r>
    </w:p>
    <w:p w:rsidR="001B0CD8" w:rsidRPr="00634AD7" w:rsidRDefault="001B0CD8" w:rsidP="001B0CD8">
      <w:pPr>
        <w:ind w:firstLine="720"/>
        <w:jc w:val="both"/>
        <w:rPr>
          <w:sz w:val="28"/>
          <w:szCs w:val="28"/>
        </w:rPr>
      </w:pPr>
      <w:r>
        <w:rPr>
          <w:color w:val="000000"/>
          <w:sz w:val="28"/>
          <w:szCs w:val="28"/>
        </w:rPr>
        <w:t xml:space="preserve">У </w:t>
      </w:r>
      <w:r w:rsidRPr="001E2D27">
        <w:rPr>
          <w:color w:val="000000"/>
          <w:sz w:val="28"/>
          <w:szCs w:val="28"/>
        </w:rPr>
        <w:t>2014 році Чернівецька міська рада приєдналась до Європейської ініціати</w:t>
      </w:r>
      <w:r w:rsidRPr="00634AD7">
        <w:rPr>
          <w:color w:val="000000"/>
          <w:sz w:val="28"/>
          <w:szCs w:val="28"/>
        </w:rPr>
        <w:t xml:space="preserve">ви «Угода мерів» </w:t>
      </w:r>
      <w:r w:rsidRPr="00634AD7">
        <w:rPr>
          <w:sz w:val="28"/>
          <w:szCs w:val="28"/>
        </w:rPr>
        <w:t>(</w:t>
      </w:r>
      <w:r w:rsidRPr="00634AD7">
        <w:rPr>
          <w:color w:val="000000"/>
          <w:sz w:val="28"/>
          <w:szCs w:val="28"/>
        </w:rPr>
        <w:t>рішення м</w:t>
      </w:r>
      <w:r w:rsidRPr="001E2D27">
        <w:rPr>
          <w:color w:val="000000"/>
          <w:sz w:val="28"/>
          <w:szCs w:val="28"/>
        </w:rPr>
        <w:t xml:space="preserve">іської ради від 31.07.2014р. № 1290 «Про приєднання до Європейської ініціативи «Угода мерів»). В рамках реалізації в м.Чернівцях Європейської </w:t>
      </w:r>
      <w:r w:rsidRPr="00634AD7">
        <w:rPr>
          <w:color w:val="000000"/>
          <w:sz w:val="28"/>
          <w:szCs w:val="28"/>
        </w:rPr>
        <w:t>ініціативи «Угода мерів» Чернівецькою</w:t>
      </w:r>
      <w:r w:rsidRPr="001E2D27">
        <w:rPr>
          <w:color w:val="000000"/>
          <w:sz w:val="28"/>
          <w:szCs w:val="28"/>
        </w:rPr>
        <w:t xml:space="preserve"> міською радою за сприяння Німецького бюро міжнародного співробітництва GIZ </w:t>
      </w:r>
      <w:r w:rsidRPr="001E2D27">
        <w:rPr>
          <w:rStyle w:val="apple-style-span"/>
          <w:color w:val="000000"/>
          <w:sz w:val="28"/>
          <w:szCs w:val="28"/>
        </w:rPr>
        <w:t xml:space="preserve">був </w:t>
      </w:r>
      <w:r w:rsidRPr="00634AD7">
        <w:rPr>
          <w:rStyle w:val="apple-style-span"/>
          <w:color w:val="000000"/>
          <w:sz w:val="28"/>
          <w:szCs w:val="28"/>
        </w:rPr>
        <w:t>розроблений та рішенням міської ради від 31.07.2015р. № 1665 затверджений План дій сталого енергетичного розвитку міста Чернівців на 2015-2020 роки.</w:t>
      </w:r>
      <w:r w:rsidRPr="00634AD7">
        <w:rPr>
          <w:sz w:val="28"/>
          <w:szCs w:val="28"/>
        </w:rPr>
        <w:t xml:space="preserve"> ПДСЕР м.Чернівців розроблений для  формування майбутнього, більш детального планування енергетичної політики міста Чернівців. ПДСЕР м.Чернівців є ключовим документом, який показує, як сторона-підписант «Угоди мерів» планує виконати свої зобов’язання до 2020 року. В ПДСЕР м.Чернівців визначені конкретні заходи щодо зменшення викидів CO2 разом з </w:t>
      </w:r>
      <w:r w:rsidRPr="00634AD7">
        <w:rPr>
          <w:sz w:val="28"/>
          <w:szCs w:val="28"/>
        </w:rPr>
        <w:lastRenderedPageBreak/>
        <w:t xml:space="preserve">часовим графіком та визначеними функціями, які перетворюють довгострокову стратегію в захід. </w:t>
      </w:r>
    </w:p>
    <w:p w:rsidR="001B0CD8" w:rsidRDefault="001B0CD8" w:rsidP="001B0CD8">
      <w:pPr>
        <w:ind w:firstLine="720"/>
        <w:jc w:val="both"/>
        <w:rPr>
          <w:sz w:val="28"/>
          <w:szCs w:val="28"/>
          <w:lang w:eastAsia="uk-UA"/>
        </w:rPr>
      </w:pPr>
      <w:r w:rsidRPr="001E2D27">
        <w:rPr>
          <w:sz w:val="28"/>
          <w:szCs w:val="28"/>
        </w:rPr>
        <w:t xml:space="preserve">Для виконання </w:t>
      </w:r>
      <w:r w:rsidRPr="00634AD7">
        <w:rPr>
          <w:sz w:val="28"/>
          <w:szCs w:val="28"/>
        </w:rPr>
        <w:t xml:space="preserve">цілей ПДСЕР м.Чернівців передбачені заходи за визначеними напрямами діяльності, в т.ч.: </w:t>
      </w:r>
      <w:r w:rsidRPr="00634AD7">
        <w:rPr>
          <w:sz w:val="28"/>
          <w:szCs w:val="28"/>
          <w:lang w:eastAsia="uk-UA"/>
        </w:rPr>
        <w:t>заходи у секторі муніципальних будівель, обладнання/об'єктів, заходи у секторі житлових</w:t>
      </w:r>
      <w:r w:rsidRPr="001E2D27">
        <w:rPr>
          <w:sz w:val="28"/>
          <w:szCs w:val="28"/>
          <w:lang w:eastAsia="uk-UA"/>
        </w:rPr>
        <w:t xml:space="preserve"> будівель, заходи у секторі муніципального громадського освітлення, заходи у секторі транспорту.</w:t>
      </w:r>
    </w:p>
    <w:p w:rsidR="001B0CD8" w:rsidRPr="001E2D27" w:rsidRDefault="001B0CD8" w:rsidP="001B0CD8">
      <w:pPr>
        <w:ind w:firstLine="720"/>
        <w:jc w:val="both"/>
        <w:rPr>
          <w:sz w:val="28"/>
          <w:szCs w:val="28"/>
          <w:lang w:eastAsia="uk-UA"/>
        </w:rPr>
      </w:pPr>
      <w:r>
        <w:rPr>
          <w:sz w:val="28"/>
          <w:szCs w:val="28"/>
          <w:lang w:eastAsia="uk-UA"/>
        </w:rPr>
        <w:t>Окрім цього, Чернівецькою міською радою затверджені міські цільові програми розвитку окремих галузей, в т.ч.: будівництва, транспорту, міської інженерної інфраструктури, туризму, охорони здоров’я, освіти, культури, спорту.</w:t>
      </w:r>
    </w:p>
    <w:p w:rsidR="001B0CD8" w:rsidRPr="00091245" w:rsidRDefault="001B0CD8" w:rsidP="001B0CD8">
      <w:pPr>
        <w:pStyle w:val="a8"/>
        <w:ind w:firstLine="708"/>
        <w:jc w:val="both"/>
        <w:rPr>
          <w:rFonts w:ascii="Times New Roman" w:hAnsi="Times New Roman"/>
          <w:color w:val="000000"/>
          <w:sz w:val="28"/>
          <w:szCs w:val="28"/>
          <w:lang w:val="uk-UA"/>
        </w:rPr>
      </w:pPr>
      <w:r w:rsidRPr="00091245">
        <w:rPr>
          <w:rFonts w:ascii="Times New Roman" w:hAnsi="Times New Roman"/>
          <w:color w:val="000000"/>
          <w:sz w:val="28"/>
          <w:szCs w:val="28"/>
          <w:lang w:val="uk-UA"/>
        </w:rPr>
        <w:t>Окремі проекти</w:t>
      </w:r>
      <w:r>
        <w:rPr>
          <w:rFonts w:ascii="Times New Roman" w:hAnsi="Times New Roman"/>
          <w:color w:val="000000"/>
          <w:sz w:val="28"/>
          <w:szCs w:val="28"/>
          <w:lang w:val="uk-UA"/>
        </w:rPr>
        <w:t xml:space="preserve"> та заходи</w:t>
      </w:r>
      <w:r w:rsidRPr="00091245">
        <w:rPr>
          <w:rFonts w:ascii="Times New Roman" w:hAnsi="Times New Roman"/>
          <w:color w:val="000000"/>
          <w:sz w:val="28"/>
          <w:szCs w:val="28"/>
          <w:lang w:val="uk-UA"/>
        </w:rPr>
        <w:t>, які передбачається реалізовувати в рамках зазначених стратегічних документів</w:t>
      </w:r>
      <w:r>
        <w:rPr>
          <w:rFonts w:ascii="Times New Roman" w:hAnsi="Times New Roman"/>
          <w:color w:val="000000"/>
          <w:sz w:val="28"/>
          <w:szCs w:val="28"/>
          <w:lang w:val="uk-UA"/>
        </w:rPr>
        <w:t xml:space="preserve"> і міських програм</w:t>
      </w:r>
      <w:r w:rsidRPr="00091245">
        <w:rPr>
          <w:rFonts w:ascii="Times New Roman" w:hAnsi="Times New Roman"/>
          <w:color w:val="000000"/>
          <w:sz w:val="28"/>
          <w:szCs w:val="28"/>
          <w:lang w:val="uk-UA"/>
        </w:rPr>
        <w:t>, можуть бути запропоновані внутрішнім та зовнішнім інвесторам для здійснення інвестиційної діяльності..</w:t>
      </w:r>
    </w:p>
    <w:p w:rsidR="001B0CD8" w:rsidRPr="00AA322C" w:rsidRDefault="001B0CD8" w:rsidP="001B0CD8">
      <w:pPr>
        <w:pStyle w:val="a8"/>
        <w:ind w:firstLine="708"/>
        <w:jc w:val="both"/>
        <w:rPr>
          <w:rFonts w:ascii="Times New Roman" w:hAnsi="Times New Roman"/>
          <w:color w:val="000000"/>
          <w:sz w:val="28"/>
          <w:szCs w:val="28"/>
          <w:lang w:val="uk-UA"/>
        </w:rPr>
      </w:pPr>
      <w:r w:rsidRPr="00AA322C">
        <w:rPr>
          <w:rFonts w:ascii="Times New Roman" w:hAnsi="Times New Roman"/>
          <w:color w:val="000000"/>
          <w:sz w:val="28"/>
          <w:szCs w:val="28"/>
          <w:lang w:val="uk-UA"/>
        </w:rPr>
        <w:t>Також, одним із механізмів активізації інвестиційної діяльності в місті Чернівцях може стати вміле використання його конкурентних переваг.</w:t>
      </w:r>
    </w:p>
    <w:p w:rsidR="001B0CD8" w:rsidRPr="00AA322C" w:rsidRDefault="001B0CD8" w:rsidP="001B0CD8">
      <w:pPr>
        <w:ind w:firstLine="720"/>
        <w:jc w:val="both"/>
        <w:rPr>
          <w:color w:val="000000"/>
          <w:sz w:val="28"/>
          <w:szCs w:val="28"/>
        </w:rPr>
      </w:pPr>
      <w:r w:rsidRPr="00AA322C">
        <w:rPr>
          <w:color w:val="000000"/>
          <w:sz w:val="26"/>
          <w:szCs w:val="26"/>
          <w:lang w:eastAsia="en-US"/>
        </w:rPr>
        <w:t>Через територію Чернівецької області т</w:t>
      </w:r>
      <w:r>
        <w:rPr>
          <w:color w:val="000000"/>
          <w:sz w:val="26"/>
          <w:szCs w:val="26"/>
          <w:lang w:eastAsia="en-US"/>
        </w:rPr>
        <w:t>а</w:t>
      </w:r>
      <w:r w:rsidRPr="00AA322C">
        <w:rPr>
          <w:color w:val="000000"/>
          <w:sz w:val="26"/>
          <w:szCs w:val="26"/>
          <w:lang w:eastAsia="en-US"/>
        </w:rPr>
        <w:t xml:space="preserve"> міста Чернівців проходять автомобільні дороги міжрегіонального та міжнародного сполучення, які забезпечують транспортне сполучення з іншими містами України та транзитні автомобільні зв’язки з Румунією та Молдовою. Головним пасажирським залізничним терміналом є Чернівецький залізничний вокзал, розташований в центральній частині міста Чернівців. </w:t>
      </w:r>
      <w:r>
        <w:rPr>
          <w:color w:val="000000"/>
          <w:sz w:val="26"/>
          <w:szCs w:val="26"/>
          <w:lang w:eastAsia="en-US"/>
        </w:rPr>
        <w:t xml:space="preserve">Окрім того </w:t>
      </w:r>
      <w:r w:rsidRPr="00AA322C">
        <w:rPr>
          <w:color w:val="000000"/>
          <w:sz w:val="26"/>
          <w:szCs w:val="26"/>
          <w:lang w:eastAsia="en-US"/>
        </w:rPr>
        <w:t xml:space="preserve">у місті функціонує комунальне підприємство </w:t>
      </w:r>
      <w:r w:rsidRPr="00AA322C">
        <w:rPr>
          <w:color w:val="000000"/>
          <w:sz w:val="28"/>
          <w:szCs w:val="28"/>
        </w:rPr>
        <w:t>«Міжнародний аеропорт «Чернівці» імені Леоніда Каденюка», який розташований безпосередньо в місті. Аеропорт забезпечує обслуговування внутрішніх та міжнародних авіарейсів.</w:t>
      </w:r>
    </w:p>
    <w:p w:rsidR="001B0CD8" w:rsidRPr="00AA322C" w:rsidRDefault="001B0CD8" w:rsidP="001B0CD8">
      <w:pPr>
        <w:ind w:firstLine="708"/>
        <w:jc w:val="both"/>
        <w:rPr>
          <w:color w:val="000000"/>
          <w:sz w:val="28"/>
          <w:szCs w:val="28"/>
        </w:rPr>
      </w:pPr>
      <w:r w:rsidRPr="00AA322C">
        <w:rPr>
          <w:color w:val="000000"/>
          <w:sz w:val="28"/>
          <w:szCs w:val="28"/>
        </w:rPr>
        <w:t xml:space="preserve">Промисловий комплекс міста Чернівців у 2019 році </w:t>
      </w:r>
      <w:r w:rsidRPr="00634AD7">
        <w:rPr>
          <w:color w:val="000000"/>
          <w:sz w:val="28"/>
          <w:szCs w:val="28"/>
        </w:rPr>
        <w:t xml:space="preserve">представлений </w:t>
      </w:r>
      <w:r>
        <w:rPr>
          <w:color w:val="000000"/>
          <w:sz w:val="28"/>
          <w:szCs w:val="28"/>
        </w:rPr>
        <w:t xml:space="preserve">                </w:t>
      </w:r>
      <w:r w:rsidRPr="00634AD7">
        <w:rPr>
          <w:color w:val="000000"/>
          <w:sz w:val="28"/>
          <w:szCs w:val="28"/>
        </w:rPr>
        <w:t>168 підприємствами, які за основними видами промислової діяльності поділяються на  11 галузей, в т.ч.: машинобудування, легка промисловість, виробництво харчових продуктів та напоїв, хімічна промисловість, виробництво іншої</w:t>
      </w:r>
      <w:r w:rsidRPr="00AA322C">
        <w:rPr>
          <w:color w:val="000000"/>
          <w:sz w:val="28"/>
          <w:szCs w:val="28"/>
        </w:rPr>
        <w:t xml:space="preserve"> неметалевої продукції, деревообробна промисловість та виробництво меблів, виробництво готових металевих виробів, поліграфічна діяльність, целюлозно-паперове виробництво, виробництво та розподіл газу, теплової та електричної енергії, забір, очищення та постачання води.</w:t>
      </w:r>
    </w:p>
    <w:p w:rsidR="001B0CD8" w:rsidRPr="00AA322C" w:rsidRDefault="001B0CD8" w:rsidP="001B0CD8">
      <w:pPr>
        <w:ind w:firstLine="720"/>
        <w:jc w:val="both"/>
        <w:rPr>
          <w:color w:val="000000"/>
          <w:szCs w:val="28"/>
        </w:rPr>
      </w:pPr>
      <w:r w:rsidRPr="00AA322C">
        <w:rPr>
          <w:color w:val="000000"/>
          <w:sz w:val="28"/>
          <w:szCs w:val="28"/>
        </w:rPr>
        <w:t xml:space="preserve"> Враховуючи, що малий і середній бізнес міста Чернівців суттєво впливає на розвиток економіки та соціальної сфери, зокрема, здійснює інвестування у будівництво нових об’єктів міської інфраструктури, створення нових підприємств виробничої сфери, торгівлі, послуг, та, відповідно, створює нові робочі місця, міська влада активно підтримує розвиток підприємницької діяльності. Рішенням Чернівецької міської ради </w:t>
      </w:r>
      <w:r w:rsidRPr="00AA322C">
        <w:rPr>
          <w:color w:val="000000"/>
          <w:sz w:val="28"/>
          <w:szCs w:val="28"/>
        </w:rPr>
        <w:br/>
      </w:r>
      <w:r w:rsidRPr="00AA322C">
        <w:rPr>
          <w:color w:val="000000"/>
          <w:sz w:val="28"/>
          <w:szCs w:val="28"/>
          <w:lang w:val="en-US"/>
        </w:rPr>
        <w:t>V</w:t>
      </w:r>
      <w:r w:rsidRPr="00AA322C">
        <w:rPr>
          <w:color w:val="000000"/>
          <w:sz w:val="28"/>
          <w:szCs w:val="28"/>
        </w:rPr>
        <w:t xml:space="preserve">ІІ скликання від 20.12.2018р. №1579  затверджена </w:t>
      </w:r>
      <w:r w:rsidRPr="00634AD7">
        <w:rPr>
          <w:color w:val="000000"/>
          <w:sz w:val="28"/>
          <w:szCs w:val="28"/>
        </w:rPr>
        <w:t xml:space="preserve">Програма розвитку малого і середнього підприємництва в місті Чернівцях на 2019-2020 роки, якою передбачено </w:t>
      </w:r>
      <w:r>
        <w:rPr>
          <w:color w:val="000000"/>
          <w:sz w:val="28"/>
          <w:szCs w:val="28"/>
        </w:rPr>
        <w:t>вирішення ключових завдань у сфері підтримки бізнесу в місті</w:t>
      </w:r>
      <w:r w:rsidRPr="00AA322C">
        <w:rPr>
          <w:color w:val="000000"/>
          <w:szCs w:val="28"/>
        </w:rPr>
        <w:t>.</w:t>
      </w:r>
    </w:p>
    <w:p w:rsidR="001B0CD8" w:rsidRPr="00634AD7" w:rsidRDefault="001B0CD8" w:rsidP="001B0CD8">
      <w:pPr>
        <w:ind w:firstLine="708"/>
        <w:jc w:val="both"/>
        <w:rPr>
          <w:rFonts w:ascii="Times New Roman" w:hAnsi="Times New Roman"/>
          <w:color w:val="000000"/>
          <w:sz w:val="28"/>
          <w:szCs w:val="28"/>
        </w:rPr>
      </w:pPr>
      <w:r w:rsidRPr="00634AD7">
        <w:rPr>
          <w:rFonts w:ascii="Times New Roman" w:hAnsi="Times New Roman"/>
          <w:color w:val="000000"/>
          <w:sz w:val="28"/>
          <w:szCs w:val="28"/>
        </w:rPr>
        <w:t xml:space="preserve">Сфера торгівлі і побутових послуг міста представлена розвиненою мережею підприємств торгівлі, ресторанного господарства та побутового обслуговування населення. Місто Чернівці займає одне з ведучих місць в Україні по наявності торгових площ. Інфраструктура об’єктів торгівлі включає 20 сучасних торгових центрів і супермаркетів, понад 1500 об’єктів роздрібної </w:t>
      </w:r>
      <w:r w:rsidRPr="00634AD7">
        <w:rPr>
          <w:rFonts w:ascii="Times New Roman" w:hAnsi="Times New Roman"/>
          <w:color w:val="000000"/>
          <w:sz w:val="28"/>
          <w:szCs w:val="28"/>
        </w:rPr>
        <w:lastRenderedPageBreak/>
        <w:t xml:space="preserve">торгівлі, 250 об’єктів оптової торгівлі, понад 600 підприємств ресторанного господарства, 22 ринки та мікроринки, в т.ч.  «Калинівський ринок» – один з найбільших ринків в Україні, </w:t>
      </w:r>
      <w:r>
        <w:rPr>
          <w:rFonts w:ascii="Times New Roman" w:hAnsi="Times New Roman"/>
          <w:color w:val="000000"/>
          <w:sz w:val="28"/>
          <w:szCs w:val="28"/>
        </w:rPr>
        <w:t xml:space="preserve">середньоденна </w:t>
      </w:r>
      <w:r w:rsidRPr="00634AD7">
        <w:rPr>
          <w:rFonts w:ascii="Times New Roman" w:hAnsi="Times New Roman"/>
          <w:color w:val="000000"/>
          <w:sz w:val="28"/>
          <w:szCs w:val="28"/>
        </w:rPr>
        <w:t>відвіду</w:t>
      </w:r>
      <w:r>
        <w:rPr>
          <w:rFonts w:ascii="Times New Roman" w:hAnsi="Times New Roman"/>
          <w:color w:val="000000"/>
          <w:sz w:val="28"/>
          <w:szCs w:val="28"/>
        </w:rPr>
        <w:t xml:space="preserve">ваність якого складає </w:t>
      </w:r>
      <w:r w:rsidRPr="00634AD7">
        <w:rPr>
          <w:rFonts w:ascii="Times New Roman" w:hAnsi="Times New Roman"/>
          <w:color w:val="000000"/>
          <w:sz w:val="28"/>
          <w:szCs w:val="28"/>
        </w:rPr>
        <w:t xml:space="preserve">біля 20 тис. покупців. </w:t>
      </w:r>
    </w:p>
    <w:p w:rsidR="001B0CD8" w:rsidRPr="00AA322C" w:rsidRDefault="001B0CD8" w:rsidP="001B0CD8">
      <w:pPr>
        <w:ind w:firstLine="708"/>
        <w:jc w:val="both"/>
        <w:rPr>
          <w:rFonts w:ascii="Times New Roman" w:hAnsi="Times New Roman"/>
          <w:color w:val="000000"/>
          <w:sz w:val="27"/>
          <w:szCs w:val="27"/>
        </w:rPr>
      </w:pPr>
      <w:r w:rsidRPr="00AA322C">
        <w:rPr>
          <w:rFonts w:ascii="Times New Roman" w:hAnsi="Times New Roman"/>
          <w:color w:val="000000"/>
          <w:sz w:val="27"/>
          <w:szCs w:val="27"/>
        </w:rPr>
        <w:t xml:space="preserve">Туристична галузь є стратегічним вектором розвитку міста Чернівці, яка має всі передумови для інтенсивного розвитку внутрішнього та іноземного туризму, зокрема: особливість економіко-географічного розташування міста, в тому числі наближеність до кордону, наявність потужних туристичних ресурсів - </w:t>
      </w:r>
      <w:r w:rsidRPr="00AA322C">
        <w:rPr>
          <w:rStyle w:val="FontStyle12"/>
          <w:color w:val="000000"/>
          <w:sz w:val="27"/>
          <w:szCs w:val="27"/>
          <w:lang w:eastAsia="uk-UA"/>
        </w:rPr>
        <w:t>об’єкта світової спадщини ЮНЕСКО – Резиденції митрополитів  Буковини і Д</w:t>
      </w:r>
      <w:r>
        <w:rPr>
          <w:rStyle w:val="FontStyle12"/>
          <w:color w:val="000000"/>
          <w:sz w:val="27"/>
          <w:szCs w:val="27"/>
          <w:lang w:eastAsia="uk-UA"/>
        </w:rPr>
        <w:t>а</w:t>
      </w:r>
      <w:r w:rsidRPr="00AA322C">
        <w:rPr>
          <w:rStyle w:val="FontStyle12"/>
          <w:color w:val="000000"/>
          <w:sz w:val="27"/>
          <w:szCs w:val="27"/>
          <w:lang w:eastAsia="uk-UA"/>
        </w:rPr>
        <w:t>лмації, 755</w:t>
      </w:r>
      <w:r w:rsidRPr="00AA322C">
        <w:rPr>
          <w:rFonts w:ascii="Times New Roman" w:hAnsi="Times New Roman"/>
          <w:color w:val="000000"/>
          <w:sz w:val="27"/>
          <w:szCs w:val="27"/>
        </w:rPr>
        <w:t xml:space="preserve"> пам’яток історико-культурної спадщини національного та  місцевого значення, 79 культових споруд, 12 музеїв та 10 картинних галерей, 9 пам’яток садово-паркового мистецтва, 2 ботанічний сади, більше 500 закладів ресторанного господарства тощо. </w:t>
      </w:r>
      <w:r>
        <w:rPr>
          <w:rFonts w:ascii="Times New Roman" w:hAnsi="Times New Roman"/>
          <w:color w:val="000000"/>
          <w:sz w:val="27"/>
          <w:szCs w:val="27"/>
        </w:rPr>
        <w:t>З метою подальшого розвитку туристичної галузі прийнята та реалізується Програма розвитку туризму в місті Чернівцях на 2017-2020 роки.</w:t>
      </w:r>
    </w:p>
    <w:p w:rsidR="001B0CD8" w:rsidRPr="0059401C" w:rsidRDefault="001B0CD8" w:rsidP="001B0CD8">
      <w:pPr>
        <w:ind w:firstLine="709"/>
        <w:jc w:val="both"/>
        <w:rPr>
          <w:rFonts w:ascii="Times New Roman" w:hAnsi="Times New Roman"/>
          <w:color w:val="0000FF"/>
          <w:sz w:val="28"/>
          <w:szCs w:val="28"/>
        </w:rPr>
      </w:pPr>
      <w:r w:rsidRPr="00AA322C">
        <w:rPr>
          <w:rFonts w:ascii="Times New Roman" w:hAnsi="Times New Roman"/>
          <w:color w:val="000000"/>
          <w:sz w:val="27"/>
          <w:szCs w:val="27"/>
        </w:rPr>
        <w:t xml:space="preserve">Місто Чернівці має розвинену мережу внутрішнього транспортного сполучення. </w:t>
      </w:r>
      <w:r w:rsidRPr="00AA322C">
        <w:rPr>
          <w:rFonts w:ascii="Times New Roman" w:hAnsi="Times New Roman"/>
          <w:color w:val="000000"/>
          <w:sz w:val="28"/>
          <w:szCs w:val="28"/>
        </w:rPr>
        <w:t>Маршрутна сітка пасажирських перевезень міста складається з</w:t>
      </w:r>
      <w:r>
        <w:rPr>
          <w:rFonts w:ascii="Times New Roman" w:hAnsi="Times New Roman"/>
          <w:color w:val="000000"/>
          <w:sz w:val="28"/>
          <w:szCs w:val="28"/>
        </w:rPr>
        <w:t xml:space="preserve">          </w:t>
      </w:r>
      <w:r w:rsidRPr="00AA322C">
        <w:rPr>
          <w:rFonts w:ascii="Times New Roman" w:hAnsi="Times New Roman"/>
          <w:color w:val="000000"/>
          <w:sz w:val="28"/>
          <w:szCs w:val="28"/>
        </w:rPr>
        <w:t xml:space="preserve"> </w:t>
      </w:r>
      <w:r w:rsidRPr="00ED077D">
        <w:rPr>
          <w:rFonts w:ascii="Times New Roman" w:hAnsi="Times New Roman"/>
          <w:sz w:val="28"/>
          <w:szCs w:val="28"/>
        </w:rPr>
        <w:t>47 автобусних та 11</w:t>
      </w:r>
      <w:r w:rsidRPr="00ED077D">
        <w:rPr>
          <w:rFonts w:ascii="Times New Roman" w:hAnsi="Times New Roman"/>
          <w:color w:val="000000"/>
          <w:sz w:val="28"/>
          <w:szCs w:val="28"/>
        </w:rPr>
        <w:t xml:space="preserve">  тролейбусних</w:t>
      </w:r>
      <w:r w:rsidRPr="0059401C">
        <w:rPr>
          <w:rFonts w:ascii="Times New Roman" w:hAnsi="Times New Roman"/>
          <w:color w:val="000000"/>
          <w:sz w:val="28"/>
          <w:szCs w:val="28"/>
        </w:rPr>
        <w:t xml:space="preserve"> маршрутів. Для надання послуг з перевезення пасажирів щоденно задіяні 222 автобуси та до 60 тролейбусів</w:t>
      </w:r>
      <w:r w:rsidRPr="0059401C">
        <w:rPr>
          <w:rFonts w:ascii="Times New Roman" w:hAnsi="Times New Roman"/>
          <w:color w:val="0000FF"/>
          <w:sz w:val="28"/>
          <w:szCs w:val="28"/>
        </w:rPr>
        <w:t xml:space="preserve">. </w:t>
      </w:r>
    </w:p>
    <w:p w:rsidR="001B0CD8" w:rsidRPr="0059401C" w:rsidRDefault="001B0CD8" w:rsidP="001B0CD8">
      <w:pPr>
        <w:ind w:firstLine="709"/>
        <w:jc w:val="both"/>
        <w:rPr>
          <w:rFonts w:ascii="Times New Roman" w:hAnsi="Times New Roman"/>
          <w:color w:val="000000"/>
          <w:sz w:val="28"/>
          <w:szCs w:val="28"/>
        </w:rPr>
      </w:pPr>
      <w:r w:rsidRPr="0059401C">
        <w:rPr>
          <w:rFonts w:ascii="Times New Roman" w:hAnsi="Times New Roman"/>
          <w:color w:val="000000"/>
          <w:sz w:val="28"/>
          <w:szCs w:val="28"/>
        </w:rPr>
        <w:t>Також, місто Чернівці має багаторічний досвід успішної співпраці з міжнародного співробітництва, міжнародними фінансовими інституціями, участі у грантових програмах, програмах транскордонного співробітництва. Завдяки зазначеній співпраці в розвиток міста Чернівців були залучені фінансові ресурси на реалізацію низки проектів, які забезпечують життєдіяльність міста, зокрема:</w:t>
      </w:r>
    </w:p>
    <w:p w:rsidR="001B0CD8" w:rsidRPr="0059401C" w:rsidRDefault="001B0CD8" w:rsidP="001B0CD8">
      <w:pPr>
        <w:ind w:firstLine="709"/>
        <w:jc w:val="both"/>
        <w:rPr>
          <w:rFonts w:ascii="Times New Roman" w:hAnsi="Times New Roman"/>
          <w:color w:val="000000"/>
          <w:sz w:val="28"/>
          <w:szCs w:val="28"/>
        </w:rPr>
      </w:pPr>
      <w:r w:rsidRPr="0059401C">
        <w:rPr>
          <w:rFonts w:ascii="Times New Roman" w:hAnsi="Times New Roman"/>
          <w:color w:val="000000"/>
          <w:sz w:val="28"/>
          <w:szCs w:val="28"/>
        </w:rPr>
        <w:t xml:space="preserve"> -проект «Енергоефективність в будівлях бюджетної сфери в м.Чернівцях», який реалізується Чернівецькою міською радою у рамках Східноєвропейського партнерства з енергоефективності й довкілля (Е5Р) та Північною Екологічною Фінансовою Корпорацією НЕФКО ; </w:t>
      </w:r>
    </w:p>
    <w:p w:rsidR="001B0CD8" w:rsidRPr="0059401C" w:rsidRDefault="001B0CD8" w:rsidP="001B0CD8">
      <w:pPr>
        <w:ind w:firstLine="709"/>
        <w:jc w:val="both"/>
        <w:rPr>
          <w:rFonts w:ascii="Times New Roman" w:hAnsi="Times New Roman"/>
          <w:color w:val="000000"/>
          <w:sz w:val="28"/>
          <w:szCs w:val="28"/>
        </w:rPr>
      </w:pPr>
      <w:r w:rsidRPr="0059401C">
        <w:rPr>
          <w:rFonts w:ascii="Times New Roman" w:hAnsi="Times New Roman"/>
          <w:color w:val="000000"/>
          <w:sz w:val="28"/>
          <w:szCs w:val="28"/>
          <w:lang w:eastAsia="en-US"/>
        </w:rPr>
        <w:t xml:space="preserve">-проект </w:t>
      </w:r>
      <w:r w:rsidRPr="0059401C">
        <w:rPr>
          <w:rFonts w:ascii="Times New Roman" w:hAnsi="Times New Roman"/>
          <w:color w:val="000000"/>
          <w:sz w:val="28"/>
          <w:szCs w:val="28"/>
        </w:rPr>
        <w:t>«Модернізація інфраструктури централізованого теплопостачання міста Чернівці», який реалізується МКП «Чернівцітеплокомуненерго» під гарантію Чернівецької міської ради за фінансової підтримки ЄБРР;</w:t>
      </w:r>
    </w:p>
    <w:p w:rsidR="001B0CD8" w:rsidRPr="0059401C" w:rsidRDefault="001B0CD8" w:rsidP="001B0CD8">
      <w:pPr>
        <w:shd w:val="clear" w:color="auto" w:fill="FFFFFF"/>
        <w:ind w:firstLine="709"/>
        <w:contextualSpacing/>
        <w:jc w:val="both"/>
        <w:textAlignment w:val="baseline"/>
        <w:rPr>
          <w:rFonts w:ascii="Times New Roman" w:hAnsi="Times New Roman"/>
          <w:color w:val="000000"/>
          <w:sz w:val="28"/>
          <w:szCs w:val="28"/>
        </w:rPr>
      </w:pPr>
      <w:r w:rsidRPr="0059401C">
        <w:rPr>
          <w:rFonts w:ascii="Times New Roman" w:hAnsi="Times New Roman"/>
          <w:color w:val="000000"/>
          <w:sz w:val="28"/>
          <w:szCs w:val="28"/>
        </w:rPr>
        <w:t>-проект «DemoUkrainaDH у місті Чернівці», який реалізується  МКП «Чернівцітеплокомуненерго» під гарантію Чернівецької міської ради в рамках співпраці з Північною Екологічною Фінансовою Корпорацією НЕФКО, Шведським агентством міжнародного розвитку SIDA у співробітництві з Мінрегіоном України у програмі Demo</w:t>
      </w:r>
      <w:r w:rsidRPr="0059401C">
        <w:rPr>
          <w:rFonts w:ascii="Times New Roman" w:hAnsi="Times New Roman"/>
          <w:color w:val="000000"/>
          <w:sz w:val="28"/>
          <w:szCs w:val="28"/>
          <w:lang w:val="en-US"/>
        </w:rPr>
        <w:t>U</w:t>
      </w:r>
      <w:r w:rsidRPr="0059401C">
        <w:rPr>
          <w:rFonts w:ascii="Times New Roman" w:hAnsi="Times New Roman"/>
          <w:color w:val="000000"/>
          <w:sz w:val="28"/>
          <w:szCs w:val="28"/>
        </w:rPr>
        <w:t>kraina;</w:t>
      </w:r>
    </w:p>
    <w:p w:rsidR="001B0CD8" w:rsidRPr="0059401C" w:rsidRDefault="001B0CD8" w:rsidP="001B0CD8">
      <w:pPr>
        <w:shd w:val="clear" w:color="auto" w:fill="FFFFFF"/>
        <w:ind w:firstLine="709"/>
        <w:contextualSpacing/>
        <w:jc w:val="both"/>
        <w:textAlignment w:val="baseline"/>
        <w:rPr>
          <w:rFonts w:ascii="Times New Roman" w:hAnsi="Times New Roman"/>
          <w:color w:val="000000"/>
          <w:sz w:val="28"/>
          <w:szCs w:val="28"/>
        </w:rPr>
      </w:pPr>
      <w:r w:rsidRPr="0059401C">
        <w:rPr>
          <w:rFonts w:ascii="Times New Roman" w:hAnsi="Times New Roman"/>
          <w:color w:val="000000"/>
          <w:sz w:val="28"/>
          <w:szCs w:val="28"/>
        </w:rPr>
        <w:t>-проект «ПДСЕР для МЕСР: практичне впровадження ПДСЕР у напрямку сталого, розумного та енергоефективного міського освітлення в м.Чернівці», який розроблений в рамках регіональної програми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w:t>
      </w:r>
    </w:p>
    <w:p w:rsidR="001B0CD8" w:rsidRPr="00AA322C" w:rsidRDefault="001B0CD8" w:rsidP="001B0CD8">
      <w:pPr>
        <w:shd w:val="clear" w:color="auto" w:fill="FFFFFF"/>
        <w:ind w:firstLine="709"/>
        <w:contextualSpacing/>
        <w:jc w:val="both"/>
        <w:textAlignment w:val="baseline"/>
        <w:rPr>
          <w:rFonts w:ascii="Times New Roman" w:hAnsi="Times New Roman"/>
          <w:b/>
          <w:color w:val="000000"/>
          <w:sz w:val="28"/>
          <w:szCs w:val="28"/>
        </w:rPr>
      </w:pPr>
      <w:r w:rsidRPr="0059401C">
        <w:rPr>
          <w:rFonts w:ascii="Times New Roman" w:hAnsi="Times New Roman"/>
          <w:color w:val="000000"/>
          <w:sz w:val="28"/>
          <w:szCs w:val="28"/>
        </w:rPr>
        <w:t>-«Проект муніципального водного господарства м.Чернівці, стадія 1», що реалізується під державні гарантії, підтримується</w:t>
      </w:r>
      <w:r w:rsidRPr="00AA322C">
        <w:rPr>
          <w:rFonts w:ascii="Times New Roman" w:hAnsi="Times New Roman"/>
          <w:color w:val="000000"/>
          <w:sz w:val="28"/>
          <w:szCs w:val="28"/>
        </w:rPr>
        <w:t xml:space="preserve"> Урядом Федеративної Республіки Німеччина та Кредитною установою для відбудови («</w:t>
      </w:r>
      <w:r w:rsidRPr="00AA322C">
        <w:rPr>
          <w:rFonts w:ascii="Times New Roman" w:hAnsi="Times New Roman"/>
          <w:color w:val="000000"/>
          <w:sz w:val="28"/>
          <w:szCs w:val="28"/>
          <w:lang w:val="de-DE"/>
        </w:rPr>
        <w:t>KfW</w:t>
      </w:r>
      <w:r w:rsidRPr="00AA322C">
        <w:rPr>
          <w:rFonts w:ascii="Times New Roman" w:hAnsi="Times New Roman"/>
          <w:color w:val="000000"/>
          <w:sz w:val="28"/>
          <w:szCs w:val="28"/>
        </w:rPr>
        <w:t xml:space="preserve">»), </w:t>
      </w:r>
      <w:r w:rsidRPr="00AA322C">
        <w:rPr>
          <w:rFonts w:ascii="Times New Roman" w:hAnsi="Times New Roman"/>
          <w:color w:val="000000"/>
          <w:sz w:val="28"/>
          <w:szCs w:val="28"/>
        </w:rPr>
        <w:lastRenderedPageBreak/>
        <w:t>реалізується Чернівецькою міською радою та КП «Чернівціводоканал» в рамках Муніципальної програми захисту клімату II</w:t>
      </w:r>
      <w:r w:rsidRPr="00AA322C">
        <w:rPr>
          <w:rFonts w:ascii="Times New Roman" w:hAnsi="Times New Roman"/>
          <w:b/>
          <w:color w:val="000000"/>
          <w:sz w:val="28"/>
          <w:szCs w:val="28"/>
        </w:rPr>
        <w:t>».</w:t>
      </w:r>
    </w:p>
    <w:p w:rsidR="001B0CD8" w:rsidRPr="000E72F8" w:rsidRDefault="001B0CD8" w:rsidP="001B0CD8">
      <w:pPr>
        <w:shd w:val="clear" w:color="auto" w:fill="FFFFFF"/>
        <w:ind w:firstLine="709"/>
        <w:contextualSpacing/>
        <w:jc w:val="both"/>
        <w:textAlignment w:val="baseline"/>
        <w:rPr>
          <w:rFonts w:ascii="Times New Roman" w:hAnsi="Times New Roman"/>
          <w:color w:val="000000"/>
          <w:sz w:val="28"/>
          <w:szCs w:val="28"/>
        </w:rPr>
      </w:pPr>
      <w:r>
        <w:rPr>
          <w:rFonts w:ascii="Times New Roman" w:hAnsi="Times New Roman"/>
          <w:color w:val="000000"/>
          <w:sz w:val="28"/>
          <w:szCs w:val="28"/>
        </w:rPr>
        <w:t xml:space="preserve">В </w:t>
      </w:r>
      <w:r w:rsidRPr="000E72F8">
        <w:rPr>
          <w:rFonts w:ascii="Times New Roman" w:hAnsi="Times New Roman"/>
          <w:color w:val="000000"/>
          <w:sz w:val="28"/>
          <w:szCs w:val="28"/>
        </w:rPr>
        <w:t>місті Чернівцях  є в наявності окремі земельні ділянки та об’єкти комунальної та інших форм власності, які можуть бути запропоновані потенційним інвесторам для здійснення інвестиційної діяльності, зокрема</w:t>
      </w:r>
      <w:r>
        <w:rPr>
          <w:rFonts w:ascii="Times New Roman" w:hAnsi="Times New Roman"/>
          <w:color w:val="000000"/>
          <w:sz w:val="28"/>
          <w:szCs w:val="28"/>
        </w:rPr>
        <w:t>:</w:t>
      </w:r>
      <w:r w:rsidRPr="000E72F8">
        <w:rPr>
          <w:rFonts w:ascii="Times New Roman" w:hAnsi="Times New Roman"/>
          <w:color w:val="000000"/>
          <w:sz w:val="28"/>
          <w:szCs w:val="28"/>
        </w:rPr>
        <w:t xml:space="preserve"> </w:t>
      </w:r>
      <w:r>
        <w:rPr>
          <w:rFonts w:ascii="Times New Roman" w:hAnsi="Times New Roman"/>
          <w:color w:val="000000"/>
          <w:sz w:val="28"/>
          <w:szCs w:val="28"/>
        </w:rPr>
        <w:t xml:space="preserve">для </w:t>
      </w:r>
      <w:r w:rsidRPr="000E72F8">
        <w:rPr>
          <w:rFonts w:ascii="Times New Roman" w:hAnsi="Times New Roman"/>
          <w:color w:val="000000"/>
          <w:sz w:val="28"/>
          <w:szCs w:val="28"/>
        </w:rPr>
        <w:t>будівництва</w:t>
      </w:r>
      <w:r>
        <w:rPr>
          <w:rFonts w:ascii="Times New Roman" w:hAnsi="Times New Roman"/>
          <w:color w:val="000000"/>
          <w:sz w:val="28"/>
          <w:szCs w:val="28"/>
        </w:rPr>
        <w:t xml:space="preserve"> нових об’єктів</w:t>
      </w:r>
      <w:r w:rsidRPr="000E72F8">
        <w:rPr>
          <w:rFonts w:ascii="Times New Roman" w:hAnsi="Times New Roman"/>
          <w:color w:val="000000"/>
          <w:sz w:val="28"/>
          <w:szCs w:val="28"/>
        </w:rPr>
        <w:t xml:space="preserve">, відкриття нових закладів освіти, охорони здоров’я, культури, спорту тощо.  </w:t>
      </w:r>
    </w:p>
    <w:p w:rsidR="001B0CD8" w:rsidRPr="0059401C" w:rsidRDefault="001B0CD8" w:rsidP="001B0CD8">
      <w:pPr>
        <w:ind w:firstLine="709"/>
        <w:jc w:val="both"/>
        <w:rPr>
          <w:rFonts w:ascii="Times New Roman" w:hAnsi="Times New Roman"/>
          <w:color w:val="000000"/>
          <w:sz w:val="28"/>
          <w:szCs w:val="28"/>
        </w:rPr>
      </w:pPr>
      <w:r w:rsidRPr="00AA322C">
        <w:rPr>
          <w:rFonts w:ascii="Times New Roman" w:hAnsi="Times New Roman"/>
          <w:color w:val="000000"/>
          <w:sz w:val="28"/>
          <w:szCs w:val="28"/>
        </w:rPr>
        <w:t xml:space="preserve">Враховуючи вигідне географічне розташування міста Чернівців, розвинену систему транспортного сполучення, наявний потенціал для подальшого розвитку економіки, об’єктів інфраструктури та соціальної сфери міста Чернівців, а також успішні результати співпраці міської влади з міжнародними організаціями, місто Чернівці має значні можливості для підвищення </w:t>
      </w:r>
      <w:r w:rsidRPr="0059401C">
        <w:rPr>
          <w:rFonts w:ascii="Times New Roman" w:hAnsi="Times New Roman"/>
          <w:color w:val="000000"/>
          <w:sz w:val="28"/>
          <w:szCs w:val="28"/>
        </w:rPr>
        <w:t>рівня інвестиційної привабливості та активізації інвестиційної діяльності в місті.</w:t>
      </w:r>
    </w:p>
    <w:p w:rsidR="001B0CD8" w:rsidRPr="0059401C" w:rsidRDefault="001B0CD8" w:rsidP="001B0CD8">
      <w:pPr>
        <w:ind w:firstLine="709"/>
        <w:jc w:val="both"/>
        <w:rPr>
          <w:rFonts w:ascii="Times New Roman" w:hAnsi="Times New Roman"/>
          <w:color w:val="000000"/>
          <w:sz w:val="28"/>
          <w:szCs w:val="28"/>
        </w:rPr>
      </w:pPr>
      <w:r w:rsidRPr="0059401C">
        <w:rPr>
          <w:rFonts w:ascii="Times New Roman" w:hAnsi="Times New Roman"/>
          <w:color w:val="000000"/>
          <w:sz w:val="28"/>
          <w:szCs w:val="28"/>
        </w:rPr>
        <w:t xml:space="preserve"> Виконання Програми розвитку інвестиційної діяльності в місті Чернівцях на 2020-2023 роки передбачається здійснювати шляхом впровадження комплексу заходів, виконання яких має сприяти активізації надходження інвестицій в економіку та соціальну сферу міста Чернівців, залучення коштів міжнародної технічної допомоги. </w:t>
      </w:r>
    </w:p>
    <w:p w:rsidR="001B0CD8" w:rsidRPr="0059401C" w:rsidRDefault="001B0CD8" w:rsidP="001B0CD8">
      <w:pPr>
        <w:pStyle w:val="a8"/>
        <w:ind w:firstLine="708"/>
        <w:jc w:val="both"/>
        <w:rPr>
          <w:rFonts w:ascii="Times New Roman" w:hAnsi="Times New Roman"/>
          <w:color w:val="000000"/>
          <w:sz w:val="28"/>
          <w:szCs w:val="28"/>
          <w:lang w:val="uk-UA"/>
        </w:rPr>
      </w:pPr>
      <w:r w:rsidRPr="0059401C">
        <w:rPr>
          <w:rFonts w:ascii="Times New Roman" w:hAnsi="Times New Roman"/>
          <w:color w:val="000000"/>
          <w:sz w:val="28"/>
          <w:szCs w:val="28"/>
          <w:lang w:val="uk-UA"/>
        </w:rPr>
        <w:t>Для забезпечення комфортних умов інвестування та налагодження діалогу з потенційними інвесторами та такими, що вже реалізують інвестиційні проекти на території міста Чернівців, необхідно проводити системну місцеву політику розвитку інвестиційної діяльності, яка ґрунтується на наступних засадах:</w:t>
      </w:r>
    </w:p>
    <w:p w:rsidR="001B0CD8" w:rsidRPr="0059401C" w:rsidRDefault="001B0CD8" w:rsidP="001B0CD8">
      <w:pPr>
        <w:pStyle w:val="a8"/>
        <w:ind w:firstLine="708"/>
        <w:jc w:val="both"/>
        <w:rPr>
          <w:rFonts w:ascii="Times New Roman" w:hAnsi="Times New Roman"/>
          <w:color w:val="000000"/>
          <w:sz w:val="28"/>
          <w:szCs w:val="28"/>
          <w:lang w:val="uk-UA"/>
        </w:rPr>
      </w:pPr>
      <w:r w:rsidRPr="0059401C">
        <w:rPr>
          <w:rFonts w:ascii="Times New Roman" w:hAnsi="Times New Roman"/>
          <w:color w:val="000000"/>
          <w:sz w:val="28"/>
          <w:szCs w:val="28"/>
          <w:lang w:val="uk-UA"/>
        </w:rPr>
        <w:t>-поліпшення регуляторного і інвестиційного клімату в місті, забезпечення прозорості, стабільності і простоти інвестиційної діяльності;</w:t>
      </w:r>
    </w:p>
    <w:p w:rsidR="001B0CD8" w:rsidRPr="0059401C" w:rsidRDefault="001B0CD8" w:rsidP="001B0CD8">
      <w:pPr>
        <w:pStyle w:val="a8"/>
        <w:ind w:firstLine="708"/>
        <w:jc w:val="both"/>
        <w:rPr>
          <w:rFonts w:ascii="Times New Roman" w:hAnsi="Times New Roman"/>
          <w:color w:val="000000"/>
          <w:sz w:val="28"/>
          <w:szCs w:val="28"/>
          <w:lang w:val="uk-UA"/>
        </w:rPr>
      </w:pPr>
      <w:r w:rsidRPr="0059401C">
        <w:rPr>
          <w:rFonts w:ascii="Times New Roman" w:hAnsi="Times New Roman"/>
          <w:color w:val="000000"/>
          <w:sz w:val="28"/>
          <w:szCs w:val="28"/>
          <w:lang w:val="uk-UA"/>
        </w:rPr>
        <w:t>-створення системи мобілізації інвестиційних ресурсів для сталого розвитку економіки міста;</w:t>
      </w:r>
    </w:p>
    <w:p w:rsidR="001B0CD8" w:rsidRPr="0059401C" w:rsidRDefault="001B0CD8" w:rsidP="001B0CD8">
      <w:pPr>
        <w:pStyle w:val="a8"/>
        <w:ind w:firstLine="708"/>
        <w:jc w:val="both"/>
        <w:rPr>
          <w:rFonts w:ascii="Times New Roman" w:hAnsi="Times New Roman"/>
          <w:color w:val="000000"/>
          <w:sz w:val="28"/>
          <w:szCs w:val="28"/>
          <w:lang w:val="uk-UA"/>
        </w:rPr>
      </w:pPr>
      <w:r w:rsidRPr="0059401C">
        <w:rPr>
          <w:rFonts w:ascii="Times New Roman" w:hAnsi="Times New Roman"/>
          <w:color w:val="000000"/>
          <w:sz w:val="28"/>
          <w:szCs w:val="28"/>
          <w:lang w:val="uk-UA"/>
        </w:rPr>
        <w:t>-сприяння збільшенню надходжень до місцевого бюджету шляхом реалізації інвестиційних проектів;</w:t>
      </w:r>
    </w:p>
    <w:p w:rsidR="001B0CD8" w:rsidRPr="0059401C" w:rsidRDefault="001B0CD8" w:rsidP="001B0CD8">
      <w:pPr>
        <w:pStyle w:val="a8"/>
        <w:ind w:firstLine="708"/>
        <w:jc w:val="both"/>
        <w:rPr>
          <w:rFonts w:ascii="Times New Roman" w:hAnsi="Times New Roman"/>
          <w:color w:val="000000"/>
          <w:sz w:val="28"/>
          <w:szCs w:val="28"/>
          <w:lang w:val="uk-UA"/>
        </w:rPr>
      </w:pPr>
      <w:r w:rsidRPr="0059401C">
        <w:rPr>
          <w:rFonts w:ascii="Times New Roman" w:hAnsi="Times New Roman"/>
          <w:color w:val="000000"/>
          <w:sz w:val="28"/>
          <w:szCs w:val="28"/>
          <w:lang w:val="uk-UA"/>
        </w:rPr>
        <w:t>-проведення активної політики виконавчих органів міської ради, як відповідальних учасників інвестиційних проектів міста Чернівців;</w:t>
      </w:r>
    </w:p>
    <w:p w:rsidR="001B0CD8" w:rsidRPr="0059401C" w:rsidRDefault="001B0CD8" w:rsidP="001B0CD8">
      <w:pPr>
        <w:pStyle w:val="a8"/>
        <w:ind w:firstLine="708"/>
        <w:jc w:val="both"/>
        <w:rPr>
          <w:rFonts w:ascii="Times New Roman" w:hAnsi="Times New Roman"/>
          <w:color w:val="000000"/>
          <w:sz w:val="28"/>
          <w:szCs w:val="28"/>
          <w:lang w:val="uk-UA"/>
        </w:rPr>
      </w:pPr>
      <w:r w:rsidRPr="0059401C">
        <w:rPr>
          <w:rFonts w:ascii="Times New Roman" w:hAnsi="Times New Roman"/>
          <w:color w:val="000000"/>
          <w:sz w:val="28"/>
          <w:szCs w:val="28"/>
          <w:lang w:val="uk-UA"/>
        </w:rPr>
        <w:t>-формування інвестиційно-привабливого іміджу міста Чернівців як території, сприятливої для інвестування і співробітництва;</w:t>
      </w:r>
    </w:p>
    <w:p w:rsidR="001B0CD8" w:rsidRDefault="001B0CD8" w:rsidP="001B0CD8">
      <w:pPr>
        <w:pStyle w:val="a8"/>
        <w:ind w:firstLine="708"/>
        <w:jc w:val="both"/>
        <w:rPr>
          <w:rFonts w:ascii="Times New Roman" w:hAnsi="Times New Roman"/>
          <w:color w:val="000000"/>
          <w:sz w:val="28"/>
          <w:szCs w:val="28"/>
          <w:lang w:val="uk-UA"/>
        </w:rPr>
      </w:pPr>
      <w:r w:rsidRPr="0059401C">
        <w:rPr>
          <w:rFonts w:ascii="Times New Roman" w:hAnsi="Times New Roman"/>
          <w:color w:val="000000"/>
          <w:sz w:val="28"/>
          <w:szCs w:val="28"/>
          <w:lang w:val="uk-UA"/>
        </w:rPr>
        <w:t>-забезпечення поінформованості потенційних інвесторів про інвестиційні можливості та умови здійснення інвестиційної діяльності в місті Чернівцях.</w:t>
      </w:r>
    </w:p>
    <w:p w:rsidR="001B0CD8" w:rsidRPr="0059401C" w:rsidRDefault="001B0CD8" w:rsidP="001B0CD8">
      <w:pPr>
        <w:pStyle w:val="a8"/>
        <w:ind w:firstLine="708"/>
        <w:jc w:val="both"/>
        <w:rPr>
          <w:rFonts w:ascii="Times New Roman" w:hAnsi="Times New Roman"/>
          <w:color w:val="000000"/>
          <w:sz w:val="28"/>
          <w:szCs w:val="28"/>
          <w:lang w:val="uk-UA"/>
        </w:rPr>
      </w:pPr>
      <w:r>
        <w:rPr>
          <w:rFonts w:ascii="Times New Roman" w:hAnsi="Times New Roman"/>
          <w:color w:val="000000"/>
          <w:sz w:val="28"/>
          <w:szCs w:val="28"/>
          <w:lang w:val="uk-UA"/>
        </w:rPr>
        <w:t xml:space="preserve">У 2019 році з метою мінімізації корупційних ризиків в сфері інвестиційної діяльності, підвищення інвестиційної привабливості та забезпечення доступу до інформації щодо інвестиційного потенціалу міста Чернівців в форматі відкритих даних, рішенням виконавчого комітету міської ради від 26.11.2019р. № 686/26 затверджений Порядок формування та ведення реєстру інвестиційних об’єктів, проектів, інвестиційних договорів муніципальної геоінформаційної системи у місті Чернівцях. Функціонування зазначеного ресурсу забезпечить доступ до повної інформації про інвестиційні об’єкти міста Чернівців.  </w:t>
      </w:r>
    </w:p>
    <w:p w:rsidR="001B0CD8" w:rsidRPr="0059401C" w:rsidRDefault="001B0CD8" w:rsidP="001B0CD8">
      <w:pPr>
        <w:pStyle w:val="a8"/>
        <w:ind w:firstLine="708"/>
        <w:jc w:val="both"/>
        <w:rPr>
          <w:rFonts w:ascii="Times New Roman" w:hAnsi="Times New Roman"/>
          <w:color w:val="000000"/>
          <w:sz w:val="28"/>
          <w:szCs w:val="28"/>
          <w:lang w:val="uk-UA"/>
        </w:rPr>
      </w:pPr>
      <w:r w:rsidRPr="0059401C">
        <w:rPr>
          <w:rFonts w:ascii="Times New Roman" w:hAnsi="Times New Roman"/>
          <w:color w:val="000000"/>
          <w:sz w:val="28"/>
          <w:szCs w:val="28"/>
          <w:lang w:val="uk-UA"/>
        </w:rPr>
        <w:t xml:space="preserve">Програма не передбачає залучення коштів міського бюджету. Враховуючи обмеженість коштів міського бюджету на даному етапі, </w:t>
      </w:r>
      <w:r w:rsidRPr="0059401C">
        <w:rPr>
          <w:rFonts w:ascii="Times New Roman" w:hAnsi="Times New Roman"/>
          <w:color w:val="000000"/>
          <w:sz w:val="28"/>
          <w:szCs w:val="28"/>
          <w:lang w:val="uk-UA"/>
        </w:rPr>
        <w:lastRenderedPageBreak/>
        <w:t>фінансування окремих заходів  Програми планується здійснювати за рахунок інших джерел фінансування, не заборонених чинним законодавством, в т.ч. коштів міжнародних організацій та фінансових інституцій, вкладів вітчизняних та іноземних інвесторів, грантів тощо.</w:t>
      </w:r>
    </w:p>
    <w:p w:rsidR="001B0CD8" w:rsidRPr="001B0CD8" w:rsidRDefault="001B0CD8" w:rsidP="001B0CD8">
      <w:pPr>
        <w:pStyle w:val="a8"/>
        <w:ind w:firstLine="708"/>
        <w:jc w:val="both"/>
        <w:rPr>
          <w:rFonts w:ascii="Times New Roman" w:hAnsi="Times New Roman"/>
          <w:sz w:val="28"/>
          <w:szCs w:val="28"/>
          <w:lang w:val="uk-UA"/>
        </w:rPr>
      </w:pPr>
      <w:r w:rsidRPr="001B0CD8">
        <w:rPr>
          <w:rFonts w:ascii="Times New Roman" w:hAnsi="Times New Roman"/>
          <w:sz w:val="28"/>
          <w:szCs w:val="28"/>
          <w:lang w:val="uk-UA"/>
        </w:rPr>
        <w:t>Програму передбачається реалізовувати впродовж 2020-2023 років. Програма не є довгостроковою і не передбачає окремих етапів її виконання.</w:t>
      </w:r>
    </w:p>
    <w:p w:rsidR="001B0CD8" w:rsidRDefault="001B0CD8" w:rsidP="001B0CD8">
      <w:pPr>
        <w:pStyle w:val="a8"/>
        <w:ind w:firstLine="708"/>
        <w:jc w:val="both"/>
        <w:rPr>
          <w:rFonts w:ascii="Times New Roman" w:hAnsi="Times New Roman"/>
          <w:sz w:val="28"/>
          <w:szCs w:val="28"/>
          <w:lang w:val="uk-UA"/>
        </w:rPr>
      </w:pPr>
      <w:r w:rsidRPr="0059401C">
        <w:rPr>
          <w:rFonts w:ascii="Times New Roman" w:hAnsi="Times New Roman"/>
          <w:sz w:val="28"/>
          <w:szCs w:val="28"/>
          <w:lang w:val="uk-UA"/>
        </w:rPr>
        <w:t>Впродовж терміну дії Програма є складовою частиною щорічної  Програми економічного і соціального розвитку міста Чернівців.</w:t>
      </w:r>
    </w:p>
    <w:p w:rsidR="001B0CD8" w:rsidRPr="0059401C" w:rsidRDefault="001B0CD8" w:rsidP="001B0CD8">
      <w:pPr>
        <w:pStyle w:val="a8"/>
        <w:ind w:firstLine="708"/>
        <w:jc w:val="both"/>
        <w:rPr>
          <w:rFonts w:ascii="Times New Roman" w:hAnsi="Times New Roman"/>
          <w:sz w:val="28"/>
          <w:szCs w:val="28"/>
          <w:lang w:val="uk-UA"/>
        </w:rPr>
      </w:pPr>
    </w:p>
    <w:p w:rsidR="001B0CD8" w:rsidRPr="00C136CC" w:rsidRDefault="001B0CD8" w:rsidP="001B0CD8">
      <w:pPr>
        <w:ind w:firstLine="708"/>
        <w:jc w:val="center"/>
        <w:rPr>
          <w:rFonts w:ascii="Times New Roman" w:hAnsi="Times New Roman"/>
          <w:color w:val="000000"/>
          <w:sz w:val="28"/>
          <w:szCs w:val="28"/>
        </w:rPr>
      </w:pPr>
      <w:r w:rsidRPr="00C136CC">
        <w:rPr>
          <w:rFonts w:ascii="Times New Roman" w:hAnsi="Times New Roman"/>
          <w:b/>
          <w:color w:val="000000"/>
          <w:sz w:val="28"/>
          <w:szCs w:val="28"/>
        </w:rPr>
        <w:t>5.Перелік завдань Програми та результативні показники</w:t>
      </w:r>
      <w:r w:rsidRPr="00C136CC">
        <w:rPr>
          <w:rFonts w:ascii="Times New Roman" w:hAnsi="Times New Roman"/>
          <w:color w:val="000000"/>
          <w:sz w:val="28"/>
          <w:szCs w:val="28"/>
        </w:rPr>
        <w:t>.</w:t>
      </w:r>
    </w:p>
    <w:p w:rsidR="001B0CD8" w:rsidRPr="005B46D4" w:rsidRDefault="001B0CD8" w:rsidP="001B0CD8">
      <w:pPr>
        <w:pStyle w:val="a8"/>
        <w:ind w:firstLine="708"/>
        <w:jc w:val="both"/>
        <w:rPr>
          <w:rFonts w:ascii="Times New Roman" w:hAnsi="Times New Roman"/>
          <w:b/>
          <w:bCs/>
          <w:sz w:val="28"/>
          <w:szCs w:val="28"/>
          <w:lang w:val="uk-UA"/>
        </w:rPr>
      </w:pPr>
      <w:r w:rsidRPr="009270B4">
        <w:rPr>
          <w:rFonts w:ascii="Times New Roman" w:hAnsi="Times New Roman"/>
          <w:sz w:val="28"/>
          <w:szCs w:val="28"/>
          <w:lang w:val="uk-UA"/>
        </w:rPr>
        <w:t xml:space="preserve">Розв’язання проблем, визначених </w:t>
      </w:r>
      <w:r w:rsidRPr="0059401C">
        <w:rPr>
          <w:rFonts w:ascii="Times New Roman" w:hAnsi="Times New Roman"/>
          <w:sz w:val="28"/>
          <w:szCs w:val="28"/>
          <w:lang w:val="uk-UA"/>
        </w:rPr>
        <w:t>у Програмі, та досягнення її мети передбачає співпрацю міської влади з національними та міжнародними бізнесовими структурами, міжнародними інвестиційними фондами, фінансовими  інституціями, яка буде спрямована на реалізацію</w:t>
      </w:r>
      <w:r w:rsidRPr="005B46D4">
        <w:rPr>
          <w:rFonts w:ascii="Times New Roman" w:hAnsi="Times New Roman"/>
          <w:sz w:val="28"/>
          <w:szCs w:val="28"/>
          <w:lang w:val="uk-UA"/>
        </w:rPr>
        <w:t xml:space="preserve"> наступних завдань:</w:t>
      </w:r>
      <w:r w:rsidRPr="005B46D4">
        <w:rPr>
          <w:rFonts w:ascii="Times New Roman" w:hAnsi="Times New Roman"/>
          <w:b/>
          <w:bCs/>
          <w:sz w:val="28"/>
          <w:szCs w:val="28"/>
          <w:lang w:val="uk-UA"/>
        </w:rPr>
        <w:t> </w:t>
      </w:r>
    </w:p>
    <w:p w:rsidR="001B0CD8" w:rsidRPr="005B46D4" w:rsidRDefault="001B0CD8" w:rsidP="001B0CD8">
      <w:pPr>
        <w:pStyle w:val="a8"/>
        <w:ind w:firstLine="708"/>
        <w:jc w:val="both"/>
        <w:rPr>
          <w:rFonts w:ascii="Times New Roman" w:hAnsi="Times New Roman"/>
          <w:sz w:val="28"/>
          <w:szCs w:val="28"/>
          <w:lang w:val="uk-UA"/>
        </w:rPr>
      </w:pPr>
      <w:r w:rsidRPr="005B46D4">
        <w:rPr>
          <w:rFonts w:ascii="Times New Roman" w:hAnsi="Times New Roman"/>
          <w:sz w:val="28"/>
          <w:szCs w:val="28"/>
          <w:lang w:val="uk-UA"/>
        </w:rPr>
        <w:t>-створення сприятливого інвестиційного середовища для приватного капіталу;</w:t>
      </w:r>
    </w:p>
    <w:p w:rsidR="001B0CD8" w:rsidRPr="005B46D4" w:rsidRDefault="001B0CD8" w:rsidP="001B0CD8">
      <w:pPr>
        <w:pStyle w:val="a8"/>
        <w:ind w:firstLine="708"/>
        <w:jc w:val="both"/>
        <w:rPr>
          <w:rFonts w:ascii="Times New Roman" w:hAnsi="Times New Roman"/>
          <w:sz w:val="28"/>
          <w:szCs w:val="28"/>
          <w:lang w:val="uk-UA"/>
        </w:rPr>
      </w:pPr>
      <w:r w:rsidRPr="005B46D4">
        <w:rPr>
          <w:rFonts w:ascii="Times New Roman" w:hAnsi="Times New Roman"/>
          <w:sz w:val="28"/>
          <w:szCs w:val="28"/>
          <w:lang w:val="uk-UA"/>
        </w:rPr>
        <w:t xml:space="preserve">-стимулювання розвитку підприємницької діяльності та зростання ділової активності; </w:t>
      </w:r>
    </w:p>
    <w:p w:rsidR="001B0CD8" w:rsidRPr="005B46D4" w:rsidRDefault="001B0CD8" w:rsidP="001B0CD8">
      <w:pPr>
        <w:pStyle w:val="a8"/>
        <w:ind w:firstLine="708"/>
        <w:jc w:val="both"/>
        <w:rPr>
          <w:rFonts w:ascii="Times New Roman" w:hAnsi="Times New Roman"/>
          <w:sz w:val="28"/>
          <w:szCs w:val="28"/>
          <w:lang w:val="uk-UA"/>
        </w:rPr>
      </w:pPr>
      <w:r w:rsidRPr="005B46D4">
        <w:rPr>
          <w:rFonts w:ascii="Times New Roman" w:hAnsi="Times New Roman"/>
          <w:sz w:val="28"/>
          <w:szCs w:val="28"/>
          <w:lang w:val="uk-UA"/>
        </w:rPr>
        <w:t>-удосконалення організаційно-економічного і нормативно-правового механізму, спрямованого на прискорення процедур та підвищення ефективності заходів щодо залучення  інвестицій в економіку міста;</w:t>
      </w:r>
    </w:p>
    <w:p w:rsidR="001B0CD8" w:rsidRPr="005B46D4" w:rsidRDefault="001B0CD8" w:rsidP="001B0CD8">
      <w:pPr>
        <w:pStyle w:val="a8"/>
        <w:ind w:firstLine="708"/>
        <w:jc w:val="both"/>
        <w:rPr>
          <w:rFonts w:ascii="Times New Roman" w:hAnsi="Times New Roman"/>
          <w:sz w:val="28"/>
          <w:szCs w:val="28"/>
          <w:lang w:val="uk-UA"/>
        </w:rPr>
      </w:pPr>
      <w:r w:rsidRPr="005B46D4">
        <w:rPr>
          <w:rFonts w:ascii="Times New Roman" w:hAnsi="Times New Roman"/>
          <w:sz w:val="28"/>
          <w:szCs w:val="28"/>
          <w:lang w:val="uk-UA"/>
        </w:rPr>
        <w:t>-координація взаємодії місцевої влади з підприємствами, діловими та фінансовими структурами;</w:t>
      </w:r>
    </w:p>
    <w:p w:rsidR="001B0CD8" w:rsidRPr="005B46D4" w:rsidRDefault="001B0CD8" w:rsidP="001B0CD8">
      <w:pPr>
        <w:pStyle w:val="a8"/>
        <w:ind w:firstLine="708"/>
        <w:jc w:val="both"/>
        <w:rPr>
          <w:rFonts w:ascii="Times New Roman" w:hAnsi="Times New Roman"/>
          <w:sz w:val="28"/>
          <w:szCs w:val="28"/>
          <w:lang w:val="uk-UA"/>
        </w:rPr>
      </w:pPr>
      <w:r w:rsidRPr="005B46D4">
        <w:rPr>
          <w:rFonts w:ascii="Times New Roman" w:hAnsi="Times New Roman"/>
          <w:sz w:val="28"/>
          <w:szCs w:val="28"/>
          <w:lang w:val="uk-UA"/>
        </w:rPr>
        <w:t>-активізація роботи щодо участі міста у грантових програмах та проектах;</w:t>
      </w:r>
    </w:p>
    <w:p w:rsidR="001B0CD8" w:rsidRPr="005B46D4" w:rsidRDefault="001B0CD8" w:rsidP="001B0CD8">
      <w:pPr>
        <w:pStyle w:val="a8"/>
        <w:ind w:firstLine="708"/>
        <w:jc w:val="both"/>
        <w:rPr>
          <w:rFonts w:ascii="Times New Roman" w:hAnsi="Times New Roman"/>
          <w:sz w:val="28"/>
          <w:szCs w:val="28"/>
          <w:lang w:val="uk-UA"/>
        </w:rPr>
      </w:pPr>
      <w:r w:rsidRPr="005B46D4">
        <w:rPr>
          <w:rFonts w:ascii="Times New Roman" w:hAnsi="Times New Roman"/>
          <w:sz w:val="28"/>
          <w:szCs w:val="28"/>
          <w:lang w:val="uk-UA"/>
        </w:rPr>
        <w:t xml:space="preserve">-розроблення та впровадження системи супроводу інвестиційних проектів; </w:t>
      </w:r>
    </w:p>
    <w:p w:rsidR="001B0CD8" w:rsidRPr="005B46D4" w:rsidRDefault="001B0CD8" w:rsidP="001B0CD8">
      <w:pPr>
        <w:pStyle w:val="a8"/>
        <w:ind w:firstLine="708"/>
        <w:jc w:val="both"/>
        <w:rPr>
          <w:rFonts w:ascii="Times New Roman" w:hAnsi="Times New Roman"/>
          <w:sz w:val="28"/>
          <w:szCs w:val="28"/>
          <w:lang w:val="uk-UA"/>
        </w:rPr>
      </w:pPr>
      <w:r w:rsidRPr="005B46D4">
        <w:rPr>
          <w:rFonts w:ascii="Times New Roman" w:hAnsi="Times New Roman"/>
          <w:sz w:val="28"/>
          <w:szCs w:val="28"/>
          <w:lang w:val="uk-UA"/>
        </w:rPr>
        <w:t>-просування інформації про місто Чернівці на національному та міжнародному рівнях;</w:t>
      </w:r>
    </w:p>
    <w:p w:rsidR="001B0CD8" w:rsidRPr="005B46D4" w:rsidRDefault="001B0CD8" w:rsidP="001B0CD8">
      <w:pPr>
        <w:pStyle w:val="a8"/>
        <w:ind w:firstLine="708"/>
        <w:jc w:val="both"/>
        <w:rPr>
          <w:rFonts w:ascii="Times New Roman" w:hAnsi="Times New Roman"/>
          <w:sz w:val="28"/>
          <w:szCs w:val="28"/>
          <w:lang w:val="uk-UA"/>
        </w:rPr>
      </w:pPr>
      <w:r w:rsidRPr="005B46D4">
        <w:rPr>
          <w:rFonts w:ascii="Times New Roman" w:hAnsi="Times New Roman"/>
          <w:sz w:val="28"/>
          <w:szCs w:val="28"/>
          <w:lang w:val="uk-UA"/>
        </w:rPr>
        <w:t>-розроблення та цільове розповсюдження інформаційних матеріалів в друкованому та електронному вигляді про потенціал міста та конкретні інвестиційні пропозиції за допомогою сучасних інформаційних систем;</w:t>
      </w:r>
    </w:p>
    <w:p w:rsidR="001B0CD8" w:rsidRPr="005B46D4" w:rsidRDefault="001B0CD8" w:rsidP="001B0CD8">
      <w:pPr>
        <w:pStyle w:val="a8"/>
        <w:ind w:firstLine="708"/>
        <w:jc w:val="both"/>
        <w:rPr>
          <w:rFonts w:ascii="Times New Roman" w:hAnsi="Times New Roman"/>
          <w:sz w:val="28"/>
          <w:szCs w:val="28"/>
          <w:lang w:val="uk-UA"/>
        </w:rPr>
      </w:pPr>
      <w:r w:rsidRPr="005B46D4">
        <w:rPr>
          <w:rFonts w:ascii="Times New Roman" w:hAnsi="Times New Roman"/>
          <w:sz w:val="28"/>
          <w:szCs w:val="28"/>
          <w:lang w:val="uk-UA"/>
        </w:rPr>
        <w:t>-</w:t>
      </w:r>
      <w:r w:rsidRPr="005B46D4">
        <w:rPr>
          <w:rFonts w:ascii="Times New Roman" w:hAnsi="Times New Roman"/>
          <w:color w:val="000000"/>
          <w:sz w:val="28"/>
          <w:szCs w:val="28"/>
          <w:lang w:val="uk-UA"/>
        </w:rPr>
        <w:t xml:space="preserve">формування привабливого інвестиційного іміджу міста Чернівці та </w:t>
      </w:r>
      <w:r w:rsidRPr="005B46D4">
        <w:rPr>
          <w:rFonts w:ascii="Times New Roman" w:hAnsi="Times New Roman"/>
          <w:sz w:val="28"/>
          <w:szCs w:val="28"/>
          <w:lang w:val="uk-UA"/>
        </w:rPr>
        <w:t xml:space="preserve">створення ефективної системи  його інформаційно-рекламного забезпечення; </w:t>
      </w:r>
    </w:p>
    <w:p w:rsidR="001B0CD8" w:rsidRPr="005B46D4" w:rsidRDefault="001B0CD8" w:rsidP="001B0CD8">
      <w:pPr>
        <w:pStyle w:val="a8"/>
        <w:ind w:firstLine="708"/>
        <w:jc w:val="both"/>
        <w:rPr>
          <w:rFonts w:ascii="Times New Roman" w:hAnsi="Times New Roman"/>
          <w:sz w:val="28"/>
          <w:szCs w:val="28"/>
          <w:lang w:val="uk-UA"/>
        </w:rPr>
      </w:pPr>
      <w:r w:rsidRPr="005B46D4">
        <w:rPr>
          <w:rFonts w:ascii="Times New Roman" w:hAnsi="Times New Roman"/>
          <w:sz w:val="28"/>
          <w:szCs w:val="28"/>
          <w:lang w:val="uk-UA"/>
        </w:rPr>
        <w:t>-проведення та участь у заходах з налагодження зв’язків з потенційними інвесторами (форуми, презентації, ярмарки, виставки</w:t>
      </w:r>
      <w:r w:rsidRPr="009270B4">
        <w:rPr>
          <w:rFonts w:ascii="Times New Roman" w:hAnsi="Times New Roman"/>
          <w:sz w:val="28"/>
          <w:szCs w:val="28"/>
          <w:lang w:val="uk-UA"/>
        </w:rPr>
        <w:t>, бізнес-зустрічі тощо</w:t>
      </w:r>
      <w:r w:rsidRPr="005B46D4">
        <w:rPr>
          <w:rFonts w:ascii="Times New Roman" w:hAnsi="Times New Roman"/>
          <w:sz w:val="28"/>
          <w:szCs w:val="28"/>
          <w:lang w:val="uk-UA"/>
        </w:rPr>
        <w:t>) з метою пропагування економічного потенціалу та інвестиційних проектів;</w:t>
      </w:r>
    </w:p>
    <w:p w:rsidR="001B0CD8" w:rsidRPr="005B46D4" w:rsidRDefault="001B0CD8" w:rsidP="001B0CD8">
      <w:pPr>
        <w:pStyle w:val="a8"/>
        <w:ind w:firstLine="708"/>
        <w:jc w:val="both"/>
        <w:rPr>
          <w:rFonts w:ascii="Times New Roman" w:hAnsi="Times New Roman"/>
          <w:sz w:val="28"/>
          <w:szCs w:val="28"/>
          <w:lang w:val="uk-UA"/>
        </w:rPr>
      </w:pPr>
      <w:r w:rsidRPr="005B46D4">
        <w:rPr>
          <w:rFonts w:ascii="Times New Roman" w:hAnsi="Times New Roman"/>
          <w:sz w:val="28"/>
          <w:szCs w:val="28"/>
          <w:lang w:val="uk-UA"/>
        </w:rPr>
        <w:t xml:space="preserve">-підтримка місцевих  підприємців у пошуку партнерів-інвесторів; </w:t>
      </w:r>
    </w:p>
    <w:p w:rsidR="001B0CD8" w:rsidRPr="005B46D4" w:rsidRDefault="001B0CD8" w:rsidP="001B0CD8">
      <w:pPr>
        <w:pStyle w:val="a8"/>
        <w:ind w:firstLine="708"/>
        <w:jc w:val="both"/>
        <w:rPr>
          <w:rFonts w:ascii="Times New Roman" w:hAnsi="Times New Roman"/>
          <w:sz w:val="28"/>
          <w:szCs w:val="28"/>
          <w:lang w:val="uk-UA"/>
        </w:rPr>
      </w:pPr>
      <w:r w:rsidRPr="005B46D4">
        <w:rPr>
          <w:rFonts w:ascii="Times New Roman" w:hAnsi="Times New Roman"/>
          <w:sz w:val="28"/>
          <w:szCs w:val="28"/>
          <w:lang w:val="uk-UA"/>
        </w:rPr>
        <w:t>-активізація роботи щодо залучення до співпраці з містом організацій міжнародної технічної допомоги та участі у грантових програмах;</w:t>
      </w:r>
    </w:p>
    <w:p w:rsidR="001B0CD8" w:rsidRPr="005B46D4" w:rsidRDefault="001B0CD8" w:rsidP="001B0CD8">
      <w:pPr>
        <w:pStyle w:val="a7"/>
        <w:shd w:val="clear" w:color="auto" w:fill="FFFFFF"/>
        <w:spacing w:before="0" w:beforeAutospacing="0" w:after="0" w:afterAutospacing="0"/>
        <w:ind w:firstLine="540"/>
        <w:jc w:val="both"/>
        <w:rPr>
          <w:sz w:val="28"/>
          <w:szCs w:val="28"/>
          <w:lang w:val="uk-UA"/>
        </w:rPr>
      </w:pPr>
      <w:r w:rsidRPr="005B46D4">
        <w:rPr>
          <w:sz w:val="28"/>
          <w:szCs w:val="28"/>
          <w:lang w:val="uk-UA"/>
        </w:rPr>
        <w:t>-формування та постійна актуалізація  бази даних щодо наявності вільних виробничих площ, приміщень, земельних ділянок, що можуть бути запропоновані потенційним інвесторам;</w:t>
      </w:r>
    </w:p>
    <w:p w:rsidR="001B0CD8" w:rsidRPr="0059401C" w:rsidRDefault="001B0CD8" w:rsidP="001B0CD8">
      <w:pPr>
        <w:pStyle w:val="a7"/>
        <w:shd w:val="clear" w:color="auto" w:fill="FFFFFF"/>
        <w:spacing w:before="0" w:beforeAutospacing="0" w:after="0" w:afterAutospacing="0"/>
        <w:ind w:firstLine="540"/>
        <w:jc w:val="both"/>
        <w:rPr>
          <w:sz w:val="28"/>
          <w:szCs w:val="28"/>
          <w:lang w:val="uk-UA"/>
        </w:rPr>
      </w:pPr>
      <w:r w:rsidRPr="005B46D4">
        <w:rPr>
          <w:sz w:val="28"/>
          <w:szCs w:val="28"/>
          <w:lang w:val="uk-UA"/>
        </w:rPr>
        <w:t xml:space="preserve">-удосконалення системи обслуговування інвесторів, сприяння в процесах проходження </w:t>
      </w:r>
      <w:r w:rsidRPr="0059401C">
        <w:rPr>
          <w:sz w:val="28"/>
          <w:szCs w:val="28"/>
          <w:lang w:val="uk-UA"/>
        </w:rPr>
        <w:t>ними дозвільно-погоджувальних процедур.</w:t>
      </w:r>
    </w:p>
    <w:p w:rsidR="001B0CD8" w:rsidRPr="0059401C" w:rsidRDefault="001B0CD8" w:rsidP="001B0CD8">
      <w:pPr>
        <w:pStyle w:val="a7"/>
        <w:shd w:val="clear" w:color="auto" w:fill="FFFFFF"/>
        <w:spacing w:before="0" w:beforeAutospacing="0" w:after="0" w:afterAutospacing="0"/>
        <w:ind w:firstLine="540"/>
        <w:jc w:val="both"/>
        <w:rPr>
          <w:sz w:val="28"/>
          <w:szCs w:val="28"/>
          <w:lang w:val="uk-UA"/>
        </w:rPr>
      </w:pPr>
      <w:r w:rsidRPr="0059401C">
        <w:rPr>
          <w:sz w:val="28"/>
          <w:szCs w:val="28"/>
          <w:lang w:val="uk-UA"/>
        </w:rPr>
        <w:t>Реалізація завдань Програми сприятиме:</w:t>
      </w:r>
    </w:p>
    <w:p w:rsidR="001B0CD8" w:rsidRPr="0059401C" w:rsidRDefault="001B0CD8" w:rsidP="001B0CD8">
      <w:pPr>
        <w:pStyle w:val="a7"/>
        <w:shd w:val="clear" w:color="auto" w:fill="FFFFFF"/>
        <w:spacing w:before="0" w:beforeAutospacing="0" w:after="0" w:afterAutospacing="0"/>
        <w:ind w:firstLine="540"/>
        <w:jc w:val="both"/>
        <w:rPr>
          <w:sz w:val="28"/>
          <w:szCs w:val="28"/>
          <w:lang w:val="uk-UA"/>
        </w:rPr>
      </w:pPr>
      <w:r w:rsidRPr="0059401C">
        <w:rPr>
          <w:sz w:val="28"/>
          <w:szCs w:val="28"/>
          <w:lang w:val="uk-UA"/>
        </w:rPr>
        <w:lastRenderedPageBreak/>
        <w:t>-створенню привабливого інвестиційного іміджу міста Чернівців в Україні та за кордоном;</w:t>
      </w:r>
    </w:p>
    <w:p w:rsidR="001B0CD8" w:rsidRPr="005B46D4" w:rsidRDefault="001B0CD8" w:rsidP="001B0CD8">
      <w:pPr>
        <w:pStyle w:val="a7"/>
        <w:shd w:val="clear" w:color="auto" w:fill="FFFFFF"/>
        <w:spacing w:before="0" w:beforeAutospacing="0" w:after="0" w:afterAutospacing="0"/>
        <w:ind w:firstLine="540"/>
        <w:jc w:val="both"/>
        <w:rPr>
          <w:sz w:val="28"/>
          <w:szCs w:val="28"/>
          <w:lang w:val="uk-UA"/>
        </w:rPr>
      </w:pPr>
      <w:r w:rsidRPr="005B46D4">
        <w:rPr>
          <w:sz w:val="28"/>
          <w:szCs w:val="28"/>
          <w:lang w:val="uk-UA"/>
        </w:rPr>
        <w:t>-підвищенню рівня інформованості потенційних інвесторів про можливості вкладання коштів у місто Чернівці;</w:t>
      </w:r>
    </w:p>
    <w:p w:rsidR="001B0CD8" w:rsidRPr="005B46D4" w:rsidRDefault="001B0CD8" w:rsidP="001B0CD8">
      <w:pPr>
        <w:pStyle w:val="a7"/>
        <w:shd w:val="clear" w:color="auto" w:fill="FFFFFF"/>
        <w:spacing w:before="0" w:beforeAutospacing="0" w:after="0" w:afterAutospacing="0"/>
        <w:ind w:firstLine="540"/>
        <w:jc w:val="both"/>
        <w:rPr>
          <w:sz w:val="28"/>
          <w:szCs w:val="28"/>
          <w:lang w:val="uk-UA"/>
        </w:rPr>
      </w:pPr>
      <w:r w:rsidRPr="005B46D4">
        <w:rPr>
          <w:sz w:val="28"/>
          <w:szCs w:val="28"/>
          <w:lang w:val="uk-UA"/>
        </w:rPr>
        <w:t>-збільшенню обсягів інвестицій в основний капітал та обсягів прямих іноземних інвестицій;</w:t>
      </w:r>
    </w:p>
    <w:p w:rsidR="001B0CD8" w:rsidRPr="005B46D4" w:rsidRDefault="001B0CD8" w:rsidP="001B0CD8">
      <w:pPr>
        <w:pStyle w:val="a7"/>
        <w:shd w:val="clear" w:color="auto" w:fill="FFFFFF"/>
        <w:spacing w:before="0" w:beforeAutospacing="0" w:after="0" w:afterAutospacing="0"/>
        <w:ind w:firstLine="540"/>
        <w:jc w:val="both"/>
        <w:rPr>
          <w:sz w:val="28"/>
          <w:szCs w:val="28"/>
          <w:lang w:val="uk-UA"/>
        </w:rPr>
      </w:pPr>
      <w:r w:rsidRPr="005B46D4">
        <w:rPr>
          <w:sz w:val="28"/>
          <w:szCs w:val="28"/>
          <w:lang w:val="uk-UA"/>
        </w:rPr>
        <w:t>-зростанню обсягів виробництва на підприємствах міста та створенню нових робочих місць;</w:t>
      </w:r>
    </w:p>
    <w:p w:rsidR="001B0CD8" w:rsidRPr="00EB0635" w:rsidRDefault="001B0CD8" w:rsidP="001B0CD8">
      <w:pPr>
        <w:pStyle w:val="a7"/>
        <w:shd w:val="clear" w:color="auto" w:fill="FFFFFF"/>
        <w:spacing w:before="0" w:beforeAutospacing="0" w:after="0" w:afterAutospacing="0"/>
        <w:ind w:firstLine="540"/>
        <w:jc w:val="both"/>
        <w:rPr>
          <w:sz w:val="28"/>
          <w:szCs w:val="28"/>
          <w:lang w:val="uk-UA"/>
        </w:rPr>
      </w:pPr>
      <w:r w:rsidRPr="00EB0635">
        <w:rPr>
          <w:sz w:val="28"/>
          <w:szCs w:val="28"/>
          <w:lang w:val="uk-UA"/>
        </w:rPr>
        <w:t>-мо</w:t>
      </w:r>
      <w:r>
        <w:rPr>
          <w:sz w:val="28"/>
          <w:szCs w:val="28"/>
          <w:lang w:val="uk-UA"/>
        </w:rPr>
        <w:t>д</w:t>
      </w:r>
      <w:r w:rsidRPr="00EB0635">
        <w:rPr>
          <w:sz w:val="28"/>
          <w:szCs w:val="28"/>
          <w:lang w:val="uk-UA"/>
        </w:rPr>
        <w:t>ернізації об’єктів інфраструктури;</w:t>
      </w:r>
    </w:p>
    <w:p w:rsidR="001B0CD8" w:rsidRPr="0059401C" w:rsidRDefault="001B0CD8" w:rsidP="001B0CD8">
      <w:pPr>
        <w:pStyle w:val="a7"/>
        <w:shd w:val="clear" w:color="auto" w:fill="FFFFFF"/>
        <w:spacing w:before="0" w:beforeAutospacing="0" w:after="0" w:afterAutospacing="0"/>
        <w:ind w:firstLine="540"/>
        <w:jc w:val="both"/>
        <w:rPr>
          <w:sz w:val="28"/>
          <w:szCs w:val="28"/>
          <w:lang w:val="uk-UA"/>
        </w:rPr>
      </w:pPr>
      <w:r w:rsidRPr="00EB0635">
        <w:rPr>
          <w:sz w:val="28"/>
          <w:szCs w:val="28"/>
          <w:lang w:val="uk-UA"/>
        </w:rPr>
        <w:t>-</w:t>
      </w:r>
      <w:r w:rsidRPr="0059401C">
        <w:rPr>
          <w:sz w:val="28"/>
          <w:szCs w:val="28"/>
          <w:lang w:val="uk-UA"/>
        </w:rPr>
        <w:t>збільшенню доходів міського бюджету.</w:t>
      </w:r>
    </w:p>
    <w:p w:rsidR="001B0CD8" w:rsidRPr="001B0CD8" w:rsidRDefault="001B0CD8" w:rsidP="001B0CD8">
      <w:pPr>
        <w:pStyle w:val="a7"/>
        <w:shd w:val="clear" w:color="auto" w:fill="FFFFFF"/>
        <w:spacing w:before="0" w:beforeAutospacing="0" w:after="0" w:afterAutospacing="0"/>
        <w:ind w:firstLine="540"/>
        <w:jc w:val="both"/>
        <w:rPr>
          <w:sz w:val="28"/>
          <w:szCs w:val="28"/>
          <w:lang w:val="uk-UA"/>
        </w:rPr>
      </w:pPr>
      <w:r w:rsidRPr="001B0CD8">
        <w:rPr>
          <w:color w:val="000000"/>
          <w:sz w:val="28"/>
          <w:szCs w:val="28"/>
          <w:lang w:val="uk-UA"/>
        </w:rPr>
        <w:t xml:space="preserve">Реалізація Програми, як механізму активізації інвестиційної діяльності в місті Чернівцях, передбачає забезпечення балансу інтересів міської влади, </w:t>
      </w:r>
      <w:r w:rsidRPr="001B0CD8">
        <w:rPr>
          <w:sz w:val="28"/>
          <w:szCs w:val="28"/>
          <w:lang w:val="uk-UA"/>
        </w:rPr>
        <w:t xml:space="preserve">територіальної громади міста Чернівців, бізнесу та інвесторів. </w:t>
      </w:r>
    </w:p>
    <w:p w:rsidR="001B0CD8" w:rsidRPr="001B0CD8" w:rsidRDefault="001B0CD8" w:rsidP="001B0CD8">
      <w:pPr>
        <w:pStyle w:val="a7"/>
        <w:shd w:val="clear" w:color="auto" w:fill="FFFFFF"/>
        <w:spacing w:before="0" w:beforeAutospacing="0" w:after="0" w:afterAutospacing="0"/>
        <w:ind w:firstLine="540"/>
        <w:jc w:val="both"/>
        <w:rPr>
          <w:sz w:val="28"/>
          <w:szCs w:val="28"/>
          <w:lang w:val="uk-UA"/>
        </w:rPr>
      </w:pPr>
      <w:r w:rsidRPr="001B0CD8">
        <w:rPr>
          <w:sz w:val="28"/>
          <w:szCs w:val="28"/>
          <w:lang w:val="uk-UA"/>
        </w:rPr>
        <w:t>За рахунок реалізації заходів Програми очікується збільшення обсягів капітальних інвестицій в середньому на 5,0% щороку, обсягу прямих іноземних інвестицій, вкладених в економіку міста з початку інвестування - в середньому на 3,0% щороку.</w:t>
      </w:r>
    </w:p>
    <w:p w:rsidR="001B0CD8" w:rsidRPr="00174C0D" w:rsidRDefault="001B0CD8" w:rsidP="001B0CD8">
      <w:pPr>
        <w:pStyle w:val="a7"/>
        <w:shd w:val="clear" w:color="auto" w:fill="FFFFFF"/>
        <w:spacing w:before="0" w:beforeAutospacing="0" w:after="0" w:afterAutospacing="0"/>
        <w:ind w:firstLine="540"/>
        <w:jc w:val="both"/>
        <w:rPr>
          <w:color w:val="000000"/>
          <w:sz w:val="28"/>
          <w:szCs w:val="28"/>
          <w:lang w:val="uk-UA"/>
        </w:rPr>
      </w:pPr>
      <w:r w:rsidRPr="00174C0D">
        <w:rPr>
          <w:color w:val="000000"/>
          <w:sz w:val="28"/>
          <w:szCs w:val="28"/>
          <w:lang w:val="uk-UA"/>
        </w:rPr>
        <w:t xml:space="preserve">Результативні </w:t>
      </w:r>
      <w:r w:rsidRPr="0059401C">
        <w:rPr>
          <w:color w:val="000000"/>
          <w:sz w:val="28"/>
          <w:szCs w:val="28"/>
          <w:lang w:val="uk-UA"/>
        </w:rPr>
        <w:t>показники Програми наведені</w:t>
      </w:r>
      <w:r w:rsidRPr="00174C0D">
        <w:rPr>
          <w:color w:val="000000"/>
          <w:sz w:val="28"/>
          <w:szCs w:val="28"/>
          <w:lang w:val="uk-UA"/>
        </w:rPr>
        <w:t xml:space="preserve"> у </w:t>
      </w:r>
      <w:r w:rsidRPr="00174C0D">
        <w:rPr>
          <w:b/>
          <w:color w:val="000000"/>
          <w:sz w:val="28"/>
          <w:szCs w:val="28"/>
          <w:lang w:val="uk-UA"/>
        </w:rPr>
        <w:t>Додатку 1</w:t>
      </w:r>
      <w:r w:rsidRPr="00174C0D">
        <w:rPr>
          <w:color w:val="000000"/>
          <w:sz w:val="28"/>
          <w:szCs w:val="28"/>
          <w:lang w:val="uk-UA"/>
        </w:rPr>
        <w:t>.</w:t>
      </w:r>
    </w:p>
    <w:p w:rsidR="001B0CD8" w:rsidRDefault="001B0CD8" w:rsidP="001B0CD8">
      <w:pPr>
        <w:ind w:firstLine="708"/>
        <w:jc w:val="center"/>
        <w:rPr>
          <w:b/>
          <w:color w:val="FF0000"/>
          <w:sz w:val="28"/>
          <w:szCs w:val="28"/>
        </w:rPr>
      </w:pPr>
    </w:p>
    <w:p w:rsidR="001B0CD8" w:rsidRPr="00C136CC" w:rsidRDefault="001B0CD8" w:rsidP="001B0CD8">
      <w:pPr>
        <w:ind w:firstLine="708"/>
        <w:jc w:val="center"/>
        <w:rPr>
          <w:b/>
          <w:color w:val="000000"/>
          <w:sz w:val="28"/>
          <w:szCs w:val="28"/>
        </w:rPr>
      </w:pPr>
      <w:r w:rsidRPr="00C136CC">
        <w:rPr>
          <w:b/>
          <w:color w:val="000000"/>
          <w:sz w:val="28"/>
          <w:szCs w:val="28"/>
        </w:rPr>
        <w:t>6.Напрями діяльності та заходи Програми.</w:t>
      </w:r>
    </w:p>
    <w:p w:rsidR="001B0CD8" w:rsidRDefault="001B0CD8" w:rsidP="001B0CD8">
      <w:pPr>
        <w:ind w:firstLine="708"/>
        <w:jc w:val="center"/>
        <w:rPr>
          <w:b/>
          <w:color w:val="FF0000"/>
          <w:sz w:val="28"/>
          <w:szCs w:val="28"/>
        </w:rPr>
      </w:pPr>
    </w:p>
    <w:p w:rsidR="001B0CD8" w:rsidRPr="0059401C" w:rsidRDefault="001B0CD8" w:rsidP="001B0CD8">
      <w:pPr>
        <w:pStyle w:val="a8"/>
        <w:ind w:firstLine="708"/>
        <w:jc w:val="both"/>
        <w:rPr>
          <w:rFonts w:ascii="Times New Roman" w:hAnsi="Times New Roman"/>
          <w:sz w:val="28"/>
          <w:szCs w:val="28"/>
          <w:lang w:val="uk-UA"/>
        </w:rPr>
      </w:pPr>
      <w:r w:rsidRPr="0059401C">
        <w:rPr>
          <w:rFonts w:ascii="Times New Roman" w:hAnsi="Times New Roman"/>
          <w:sz w:val="28"/>
          <w:szCs w:val="28"/>
          <w:lang w:val="uk-UA"/>
        </w:rPr>
        <w:t>Основою Програми є визначені напрями діяльності та комплекс заходів, реалізація яких має сприяти активізації надходження інвестицій в економіку міста Чернівців та забезпечуватиме виконання завдань Програми.</w:t>
      </w:r>
    </w:p>
    <w:p w:rsidR="001B0CD8" w:rsidRPr="0059401C" w:rsidRDefault="001B0CD8" w:rsidP="001B0CD8">
      <w:pPr>
        <w:shd w:val="clear" w:color="auto" w:fill="FFFFFF"/>
        <w:ind w:right="-143" w:firstLine="708"/>
        <w:contextualSpacing/>
        <w:jc w:val="both"/>
        <w:rPr>
          <w:color w:val="000000"/>
          <w:sz w:val="28"/>
          <w:szCs w:val="28"/>
        </w:rPr>
      </w:pPr>
      <w:r w:rsidRPr="0059401C">
        <w:rPr>
          <w:color w:val="000000"/>
          <w:sz w:val="28"/>
        </w:rPr>
        <w:t>Д</w:t>
      </w:r>
      <w:r w:rsidRPr="0059401C">
        <w:rPr>
          <w:color w:val="000000"/>
          <w:sz w:val="28"/>
          <w:szCs w:val="28"/>
        </w:rPr>
        <w:t>ля досягнення мети Програми та виконання її основних завдань визначені наступні напрями діяльності:</w:t>
      </w:r>
    </w:p>
    <w:p w:rsidR="001B0CD8" w:rsidRPr="0059401C" w:rsidRDefault="001B0CD8" w:rsidP="001B0CD8">
      <w:pPr>
        <w:shd w:val="clear" w:color="auto" w:fill="FFFFFF"/>
        <w:ind w:right="-143" w:firstLine="708"/>
        <w:contextualSpacing/>
        <w:jc w:val="both"/>
        <w:rPr>
          <w:color w:val="000000"/>
          <w:sz w:val="28"/>
          <w:szCs w:val="28"/>
        </w:rPr>
      </w:pPr>
      <w:r w:rsidRPr="0059401C">
        <w:rPr>
          <w:color w:val="000000"/>
          <w:sz w:val="28"/>
          <w:szCs w:val="28"/>
        </w:rPr>
        <w:t>1.Створення інвестиційних продуктів (проектів, пропозицій);</w:t>
      </w:r>
    </w:p>
    <w:p w:rsidR="001B0CD8" w:rsidRPr="0059401C" w:rsidRDefault="001B0CD8" w:rsidP="001B0CD8">
      <w:pPr>
        <w:shd w:val="clear" w:color="auto" w:fill="FFFFFF"/>
        <w:ind w:right="-143" w:firstLine="708"/>
        <w:contextualSpacing/>
        <w:jc w:val="both"/>
        <w:rPr>
          <w:sz w:val="28"/>
          <w:szCs w:val="28"/>
        </w:rPr>
      </w:pPr>
      <w:r w:rsidRPr="0059401C">
        <w:rPr>
          <w:color w:val="000000"/>
          <w:sz w:val="28"/>
          <w:szCs w:val="28"/>
        </w:rPr>
        <w:t>2.</w:t>
      </w:r>
      <w:r w:rsidRPr="0059401C">
        <w:rPr>
          <w:sz w:val="28"/>
          <w:szCs w:val="28"/>
        </w:rPr>
        <w:t>Просування інвестиційного продукту та підтримка позитивного іміджу міста Чернівців, як об’єкта, привабливого для інвестування;</w:t>
      </w:r>
    </w:p>
    <w:p w:rsidR="001B0CD8" w:rsidRPr="0059401C" w:rsidRDefault="001B0CD8" w:rsidP="001B0CD8">
      <w:pPr>
        <w:shd w:val="clear" w:color="auto" w:fill="FFFFFF"/>
        <w:ind w:right="-143" w:firstLine="708"/>
        <w:contextualSpacing/>
        <w:jc w:val="both"/>
        <w:rPr>
          <w:sz w:val="28"/>
          <w:szCs w:val="28"/>
        </w:rPr>
      </w:pPr>
      <w:r w:rsidRPr="0059401C">
        <w:rPr>
          <w:sz w:val="28"/>
          <w:szCs w:val="28"/>
        </w:rPr>
        <w:t>3.Створення сприятливих умов для залучення внутрішніх та зовнішніх інвестицій в розвиток міста Чернівців.</w:t>
      </w:r>
    </w:p>
    <w:p w:rsidR="001B0CD8" w:rsidRPr="003F7039" w:rsidRDefault="001B0CD8" w:rsidP="001B0CD8">
      <w:pPr>
        <w:shd w:val="clear" w:color="auto" w:fill="FFFFFF"/>
        <w:ind w:right="-143" w:firstLine="708"/>
        <w:contextualSpacing/>
        <w:jc w:val="both"/>
        <w:rPr>
          <w:color w:val="000000"/>
          <w:sz w:val="28"/>
          <w:szCs w:val="28"/>
        </w:rPr>
      </w:pPr>
      <w:r w:rsidRPr="0059401C">
        <w:rPr>
          <w:color w:val="000000"/>
          <w:sz w:val="28"/>
          <w:szCs w:val="28"/>
        </w:rPr>
        <w:t xml:space="preserve">Детальна інформація в розрізі </w:t>
      </w:r>
      <w:r w:rsidRPr="0059401C">
        <w:rPr>
          <w:sz w:val="28"/>
          <w:szCs w:val="28"/>
        </w:rPr>
        <w:t xml:space="preserve">напрямів </w:t>
      </w:r>
      <w:r w:rsidRPr="0059401C">
        <w:rPr>
          <w:color w:val="000000"/>
          <w:sz w:val="28"/>
          <w:szCs w:val="28"/>
        </w:rPr>
        <w:t>діяльності та заходів з реалізації визначених напрямів із зазначенням термінів виконання</w:t>
      </w:r>
      <w:r>
        <w:rPr>
          <w:color w:val="000000"/>
          <w:sz w:val="28"/>
          <w:szCs w:val="28"/>
        </w:rPr>
        <w:t>,</w:t>
      </w:r>
      <w:r w:rsidRPr="003F7039">
        <w:rPr>
          <w:color w:val="000000"/>
          <w:sz w:val="28"/>
          <w:szCs w:val="28"/>
        </w:rPr>
        <w:t xml:space="preserve"> відповідальних виконавців, </w:t>
      </w:r>
      <w:r w:rsidRPr="003F22BA">
        <w:rPr>
          <w:color w:val="000000"/>
          <w:sz w:val="28"/>
          <w:szCs w:val="28"/>
        </w:rPr>
        <w:t>джерел фінансування та</w:t>
      </w:r>
      <w:r w:rsidRPr="003F7039">
        <w:rPr>
          <w:color w:val="000000"/>
          <w:sz w:val="28"/>
          <w:szCs w:val="28"/>
        </w:rPr>
        <w:t xml:space="preserve"> очікуваних результатів наведена у </w:t>
      </w:r>
      <w:r>
        <w:rPr>
          <w:color w:val="000000"/>
          <w:sz w:val="28"/>
          <w:szCs w:val="28"/>
        </w:rPr>
        <w:t xml:space="preserve">              </w:t>
      </w:r>
      <w:r w:rsidRPr="003F7039">
        <w:rPr>
          <w:b/>
          <w:color w:val="000000"/>
          <w:sz w:val="28"/>
          <w:szCs w:val="28"/>
        </w:rPr>
        <w:t xml:space="preserve">Додатку </w:t>
      </w:r>
      <w:r>
        <w:rPr>
          <w:b/>
          <w:color w:val="000000"/>
          <w:sz w:val="28"/>
          <w:szCs w:val="28"/>
        </w:rPr>
        <w:t>2</w:t>
      </w:r>
      <w:r w:rsidRPr="003F7039">
        <w:rPr>
          <w:b/>
          <w:color w:val="000000"/>
          <w:sz w:val="28"/>
          <w:szCs w:val="28"/>
        </w:rPr>
        <w:t>.</w:t>
      </w:r>
    </w:p>
    <w:p w:rsidR="001B0CD8" w:rsidRDefault="001B0CD8" w:rsidP="001B0CD8">
      <w:pPr>
        <w:ind w:firstLine="708"/>
        <w:jc w:val="center"/>
        <w:rPr>
          <w:b/>
          <w:color w:val="FF0000"/>
          <w:sz w:val="28"/>
          <w:szCs w:val="28"/>
        </w:rPr>
      </w:pPr>
    </w:p>
    <w:p w:rsidR="001B0CD8" w:rsidRPr="00C136CC" w:rsidRDefault="001B0CD8" w:rsidP="001B0CD8">
      <w:pPr>
        <w:tabs>
          <w:tab w:val="left" w:pos="851"/>
        </w:tabs>
        <w:jc w:val="center"/>
        <w:rPr>
          <w:b/>
          <w:color w:val="000000"/>
          <w:sz w:val="28"/>
          <w:szCs w:val="26"/>
        </w:rPr>
      </w:pPr>
      <w:r w:rsidRPr="00C136CC">
        <w:rPr>
          <w:b/>
          <w:color w:val="000000"/>
          <w:sz w:val="28"/>
          <w:szCs w:val="28"/>
        </w:rPr>
        <w:t>7.</w:t>
      </w:r>
      <w:r w:rsidRPr="00C136CC">
        <w:rPr>
          <w:b/>
          <w:color w:val="000000"/>
          <w:sz w:val="28"/>
          <w:szCs w:val="26"/>
        </w:rPr>
        <w:t>Координація та контроль за виконанням Програми</w:t>
      </w:r>
    </w:p>
    <w:p w:rsidR="001B0CD8" w:rsidRPr="00C136CC" w:rsidRDefault="001B0CD8" w:rsidP="001B0CD8">
      <w:pPr>
        <w:ind w:firstLine="708"/>
        <w:jc w:val="both"/>
        <w:rPr>
          <w:color w:val="000000"/>
          <w:sz w:val="28"/>
          <w:szCs w:val="28"/>
        </w:rPr>
      </w:pPr>
    </w:p>
    <w:p w:rsidR="001B0CD8" w:rsidRPr="0059401C" w:rsidRDefault="001B0CD8" w:rsidP="001B0CD8">
      <w:pPr>
        <w:ind w:firstLine="709"/>
        <w:jc w:val="both"/>
        <w:rPr>
          <w:sz w:val="28"/>
          <w:szCs w:val="28"/>
        </w:rPr>
      </w:pPr>
      <w:r w:rsidRPr="00E4217F">
        <w:rPr>
          <w:sz w:val="28"/>
          <w:szCs w:val="28"/>
        </w:rPr>
        <w:t xml:space="preserve">  </w:t>
      </w:r>
      <w:r w:rsidRPr="00CA5B2F">
        <w:rPr>
          <w:sz w:val="28"/>
          <w:szCs w:val="28"/>
        </w:rPr>
        <w:t xml:space="preserve">Координацію виконання </w:t>
      </w:r>
      <w:r w:rsidRPr="0059401C">
        <w:rPr>
          <w:sz w:val="28"/>
          <w:szCs w:val="28"/>
        </w:rPr>
        <w:t>заходів Програми здійснює її відповідальний виконавець - департамент розвитку Чернівецької міської ради.</w:t>
      </w:r>
    </w:p>
    <w:p w:rsidR="001B0CD8" w:rsidRPr="0059401C" w:rsidRDefault="001B0CD8" w:rsidP="001B0CD8">
      <w:pPr>
        <w:ind w:firstLine="709"/>
        <w:jc w:val="both"/>
        <w:rPr>
          <w:sz w:val="28"/>
          <w:szCs w:val="28"/>
        </w:rPr>
      </w:pPr>
      <w:r w:rsidRPr="0059401C">
        <w:rPr>
          <w:sz w:val="28"/>
          <w:szCs w:val="28"/>
        </w:rPr>
        <w:t xml:space="preserve">Відповідальність за виконання показників і заходів Програми несуть її учасники (співвиконавці). </w:t>
      </w:r>
    </w:p>
    <w:p w:rsidR="001B0CD8" w:rsidRPr="001B0CD8" w:rsidRDefault="001B0CD8" w:rsidP="001B0CD8">
      <w:pPr>
        <w:ind w:firstLine="709"/>
        <w:jc w:val="both"/>
        <w:rPr>
          <w:sz w:val="28"/>
          <w:szCs w:val="28"/>
        </w:rPr>
      </w:pPr>
      <w:r w:rsidRPr="001B0CD8">
        <w:rPr>
          <w:sz w:val="28"/>
          <w:szCs w:val="28"/>
        </w:rPr>
        <w:t xml:space="preserve">Учасники (співвиконавці) Програми щопівроку, в термін до 10 числа місяця, наступного за звітним періодом, надають відповідальному виконавцю Програми звіти про її виконання, в т.ч. із зазначенням та обґрунтуванням причин невиконання заходів. </w:t>
      </w:r>
    </w:p>
    <w:p w:rsidR="001B0CD8" w:rsidRPr="0059401C" w:rsidRDefault="001B0CD8" w:rsidP="001B0CD8">
      <w:pPr>
        <w:ind w:firstLine="709"/>
        <w:jc w:val="both"/>
        <w:rPr>
          <w:color w:val="000000"/>
          <w:sz w:val="28"/>
          <w:szCs w:val="28"/>
        </w:rPr>
      </w:pPr>
      <w:r w:rsidRPr="0059401C">
        <w:rPr>
          <w:color w:val="000000"/>
          <w:sz w:val="28"/>
          <w:szCs w:val="28"/>
        </w:rPr>
        <w:lastRenderedPageBreak/>
        <w:t>Відповідальний виконавець Програми щорічно, до 20 січня року, наступного за звітним, подає фінансовому управлінню міської ради та департаменту розвитку міської ради звіт за встановленою формою про стан виконання Програми.</w:t>
      </w:r>
    </w:p>
    <w:p w:rsidR="001B0CD8" w:rsidRPr="0059401C" w:rsidRDefault="001B0CD8" w:rsidP="001B0CD8">
      <w:pPr>
        <w:ind w:firstLine="709"/>
        <w:jc w:val="both"/>
        <w:rPr>
          <w:sz w:val="28"/>
          <w:szCs w:val="28"/>
        </w:rPr>
      </w:pPr>
      <w:r w:rsidRPr="0059401C">
        <w:rPr>
          <w:sz w:val="28"/>
          <w:szCs w:val="28"/>
        </w:rPr>
        <w:t xml:space="preserve">Контроль за виконанням Програми здійснює постійна комісія Чернівецької міської ради з питань економіки, підприємництва, інвестицій та туризму. </w:t>
      </w:r>
    </w:p>
    <w:p w:rsidR="001B0CD8" w:rsidRDefault="001B0CD8" w:rsidP="001B0CD8">
      <w:pPr>
        <w:ind w:firstLine="709"/>
        <w:jc w:val="both"/>
        <w:rPr>
          <w:sz w:val="28"/>
          <w:szCs w:val="28"/>
        </w:rPr>
      </w:pPr>
      <w:r w:rsidRPr="0059401C">
        <w:rPr>
          <w:sz w:val="28"/>
          <w:szCs w:val="28"/>
        </w:rPr>
        <w:t>Загальна інформація про хід виконання Програми  щороку заслуховується на засіданні постійної комісії Чернівецької міської</w:t>
      </w:r>
      <w:r w:rsidRPr="002B35FC">
        <w:rPr>
          <w:sz w:val="28"/>
          <w:szCs w:val="28"/>
        </w:rPr>
        <w:t xml:space="preserve"> ради з з питань </w:t>
      </w:r>
      <w:r>
        <w:rPr>
          <w:sz w:val="28"/>
          <w:szCs w:val="28"/>
        </w:rPr>
        <w:t>економіки, підприємництва, інвестицій та туризму</w:t>
      </w:r>
      <w:r w:rsidRPr="002B35FC">
        <w:rPr>
          <w:sz w:val="28"/>
          <w:szCs w:val="28"/>
        </w:rPr>
        <w:t xml:space="preserve">. </w:t>
      </w:r>
    </w:p>
    <w:p w:rsidR="001B0CD8" w:rsidRPr="002B35FC" w:rsidRDefault="001B0CD8" w:rsidP="001B0CD8">
      <w:pPr>
        <w:ind w:firstLine="709"/>
        <w:jc w:val="both"/>
        <w:rPr>
          <w:sz w:val="28"/>
          <w:szCs w:val="28"/>
        </w:rPr>
      </w:pPr>
      <w:r w:rsidRPr="002B35FC">
        <w:rPr>
          <w:sz w:val="28"/>
          <w:szCs w:val="28"/>
        </w:rPr>
        <w:t xml:space="preserve">За </w:t>
      </w:r>
      <w:r w:rsidRPr="0059401C">
        <w:rPr>
          <w:sz w:val="28"/>
          <w:szCs w:val="28"/>
        </w:rPr>
        <w:t>необхідності до Програми можуть</w:t>
      </w:r>
      <w:r w:rsidRPr="002B35FC">
        <w:rPr>
          <w:sz w:val="28"/>
          <w:szCs w:val="28"/>
        </w:rPr>
        <w:t xml:space="preserve"> вноситися зміни та доповнення, які затверджуються відповідним рішенням Чернівецької міської ради. </w:t>
      </w:r>
    </w:p>
    <w:p w:rsidR="001B0CD8" w:rsidRDefault="001B0CD8" w:rsidP="001B0CD8">
      <w:pPr>
        <w:jc w:val="both"/>
        <w:rPr>
          <w:rStyle w:val="a6"/>
          <w:b w:val="0"/>
          <w:sz w:val="28"/>
          <w:szCs w:val="28"/>
        </w:rPr>
      </w:pPr>
    </w:p>
    <w:p w:rsidR="001B0CD8" w:rsidRDefault="001B0CD8" w:rsidP="001B0CD8">
      <w:pPr>
        <w:rPr>
          <w:sz w:val="28"/>
          <w:szCs w:val="28"/>
        </w:rPr>
      </w:pPr>
      <w:r w:rsidRPr="00E4217F">
        <w:rPr>
          <w:sz w:val="28"/>
          <w:szCs w:val="28"/>
        </w:rPr>
        <w:t xml:space="preserve">                                                  </w:t>
      </w:r>
    </w:p>
    <w:p w:rsidR="001B0CD8" w:rsidRPr="00E4217F" w:rsidRDefault="001B0CD8" w:rsidP="001B0CD8">
      <w:pPr>
        <w:rPr>
          <w:sz w:val="28"/>
          <w:szCs w:val="28"/>
        </w:rPr>
      </w:pPr>
      <w:r w:rsidRPr="00E4217F">
        <w:rPr>
          <w:sz w:val="28"/>
          <w:szCs w:val="28"/>
        </w:rPr>
        <w:t xml:space="preserve">                                                             </w:t>
      </w:r>
    </w:p>
    <w:p w:rsidR="001B0CD8" w:rsidRPr="001B0CD8" w:rsidRDefault="001B0CD8" w:rsidP="001B0CD8">
      <w:r w:rsidRPr="001B0CD8">
        <w:rPr>
          <w:b/>
          <w:sz w:val="28"/>
          <w:szCs w:val="26"/>
        </w:rPr>
        <w:t xml:space="preserve">Секретар Чернівецької міської ради                                            </w:t>
      </w:r>
      <w:r>
        <w:rPr>
          <w:b/>
          <w:sz w:val="28"/>
          <w:szCs w:val="26"/>
        </w:rPr>
        <w:t xml:space="preserve">        </w:t>
      </w:r>
      <w:r w:rsidRPr="001B0CD8">
        <w:rPr>
          <w:b/>
          <w:sz w:val="28"/>
          <w:szCs w:val="26"/>
        </w:rPr>
        <w:t xml:space="preserve">  В.Продан</w:t>
      </w:r>
    </w:p>
    <w:p w:rsidR="00BA0D37" w:rsidRDefault="00BA0D37"/>
    <w:sectPr w:rsidR="00BA0D37" w:rsidSect="005A3FD1">
      <w:headerReference w:type="even" r:id="rId8"/>
      <w:headerReference w:type="default" r:id="rId9"/>
      <w:headerReference w:type="first" r:id="rId10"/>
      <w:pgSz w:w="11907" w:h="16840" w:code="9"/>
      <w:pgMar w:top="720" w:right="851" w:bottom="720" w:left="1418" w:header="567" w:footer="709" w:gutter="0"/>
      <w:pgNumType w:start="3"/>
      <w:cols w:space="709"/>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5B2" w:rsidRDefault="00FA65B2" w:rsidP="001B0CD8">
      <w:r>
        <w:separator/>
      </w:r>
    </w:p>
  </w:endnote>
  <w:endnote w:type="continuationSeparator" w:id="0">
    <w:p w:rsidR="00FA65B2" w:rsidRDefault="00FA65B2" w:rsidP="001B0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5B2" w:rsidRDefault="00FA65B2" w:rsidP="001B0CD8">
      <w:r>
        <w:separator/>
      </w:r>
    </w:p>
  </w:footnote>
  <w:footnote w:type="continuationSeparator" w:id="0">
    <w:p w:rsidR="00FA65B2" w:rsidRDefault="00FA65B2" w:rsidP="001B0C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6F2" w:rsidRDefault="00997218" w:rsidP="000006F2">
    <w:pPr>
      <w:pStyle w:val="a3"/>
      <w:framePr w:wrap="around" w:vAnchor="text" w:hAnchor="margin" w:xAlign="center" w:y="1"/>
      <w:rPr>
        <w:rStyle w:val="a5"/>
      </w:rPr>
    </w:pPr>
    <w:r>
      <w:rPr>
        <w:rStyle w:val="a5"/>
      </w:rPr>
      <w:fldChar w:fldCharType="begin"/>
    </w:r>
    <w:r w:rsidR="00954176">
      <w:rPr>
        <w:rStyle w:val="a5"/>
      </w:rPr>
      <w:instrText xml:space="preserve">PAGE  </w:instrText>
    </w:r>
    <w:r>
      <w:rPr>
        <w:rStyle w:val="a5"/>
      </w:rPr>
      <w:fldChar w:fldCharType="end"/>
    </w:r>
  </w:p>
  <w:p w:rsidR="000006F2" w:rsidRDefault="00FA65B2">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6F2" w:rsidRDefault="005A3FD1" w:rsidP="005A3FD1">
    <w:pPr>
      <w:pStyle w:val="a3"/>
      <w:jc w:val="center"/>
    </w:pPr>
    <w:r>
      <w:t>2</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6F2" w:rsidRDefault="00997218" w:rsidP="000006F2">
    <w:pPr>
      <w:pStyle w:val="a3"/>
      <w:framePr w:wrap="around" w:vAnchor="text" w:hAnchor="margin" w:xAlign="center" w:y="1"/>
      <w:rPr>
        <w:rStyle w:val="a5"/>
      </w:rPr>
    </w:pPr>
    <w:r>
      <w:rPr>
        <w:rStyle w:val="a5"/>
      </w:rPr>
      <w:fldChar w:fldCharType="begin"/>
    </w:r>
    <w:r w:rsidR="00954176">
      <w:rPr>
        <w:rStyle w:val="a5"/>
      </w:rPr>
      <w:instrText xml:space="preserve">PAGE  </w:instrText>
    </w:r>
    <w:r>
      <w:rPr>
        <w:rStyle w:val="a5"/>
      </w:rPr>
      <w:fldChar w:fldCharType="end"/>
    </w:r>
  </w:p>
  <w:p w:rsidR="000006F2" w:rsidRDefault="00FA65B2">
    <w:pPr>
      <w:pStyle w:val="a3"/>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39300"/>
      <w:docPartObj>
        <w:docPartGallery w:val="Page Numbers (Top of Page)"/>
        <w:docPartUnique/>
      </w:docPartObj>
    </w:sdtPr>
    <w:sdtEndPr/>
    <w:sdtContent>
      <w:p w:rsidR="000006F2" w:rsidRDefault="00FA65B2" w:rsidP="005A3FD1">
        <w:pPr>
          <w:pStyle w:val="a3"/>
          <w:jc w:val="center"/>
        </w:pPr>
        <w:r>
          <w:fldChar w:fldCharType="begin"/>
        </w:r>
        <w:r>
          <w:instrText xml:space="preserve"> PAGE   \* MERGEFORMAT </w:instrText>
        </w:r>
        <w:r>
          <w:fldChar w:fldCharType="separate"/>
        </w:r>
        <w:r w:rsidR="00BB469D">
          <w:rPr>
            <w:noProof/>
          </w:rPr>
          <w:t>13</w:t>
        </w:r>
        <w:r>
          <w:rPr>
            <w:noProof/>
          </w:rPr>
          <w:fldChar w:fldCharType="end"/>
        </w:r>
      </w:p>
    </w:sdtContent>
  </w:sdt>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39301"/>
      <w:docPartObj>
        <w:docPartGallery w:val="Page Numbers (Top of Page)"/>
        <w:docPartUnique/>
      </w:docPartObj>
    </w:sdtPr>
    <w:sdtEndPr/>
    <w:sdtContent>
      <w:p w:rsidR="005A3FD1" w:rsidRDefault="00FA65B2" w:rsidP="005A3FD1">
        <w:pPr>
          <w:pStyle w:val="a3"/>
          <w:jc w:val="center"/>
        </w:pPr>
        <w:r>
          <w:fldChar w:fldCharType="begin"/>
        </w:r>
        <w:r>
          <w:instrText xml:space="preserve"> PAGE   \* MERGEFORMAT </w:instrText>
        </w:r>
        <w:r>
          <w:fldChar w:fldCharType="separate"/>
        </w:r>
        <w:r w:rsidR="00BB469D">
          <w:rPr>
            <w:noProof/>
          </w:rPr>
          <w:t>3</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CD8"/>
    <w:rsid w:val="00000281"/>
    <w:rsid w:val="00002B43"/>
    <w:rsid w:val="000057A6"/>
    <w:rsid w:val="000136CB"/>
    <w:rsid w:val="00015CB5"/>
    <w:rsid w:val="00017183"/>
    <w:rsid w:val="00021CA5"/>
    <w:rsid w:val="00024BA3"/>
    <w:rsid w:val="0002764A"/>
    <w:rsid w:val="00030175"/>
    <w:rsid w:val="00032DF1"/>
    <w:rsid w:val="00033AF0"/>
    <w:rsid w:val="0003795E"/>
    <w:rsid w:val="00037C51"/>
    <w:rsid w:val="000428A6"/>
    <w:rsid w:val="00044A41"/>
    <w:rsid w:val="000462B7"/>
    <w:rsid w:val="00047A6A"/>
    <w:rsid w:val="000545CF"/>
    <w:rsid w:val="00057236"/>
    <w:rsid w:val="000616D8"/>
    <w:rsid w:val="0006317B"/>
    <w:rsid w:val="000646A1"/>
    <w:rsid w:val="00065BDC"/>
    <w:rsid w:val="000703C8"/>
    <w:rsid w:val="00072B99"/>
    <w:rsid w:val="00075E53"/>
    <w:rsid w:val="00083D85"/>
    <w:rsid w:val="00090D68"/>
    <w:rsid w:val="000910D7"/>
    <w:rsid w:val="00093382"/>
    <w:rsid w:val="00096164"/>
    <w:rsid w:val="000A3B88"/>
    <w:rsid w:val="000A4C21"/>
    <w:rsid w:val="000A4E54"/>
    <w:rsid w:val="000A5C0F"/>
    <w:rsid w:val="000A7607"/>
    <w:rsid w:val="000B1196"/>
    <w:rsid w:val="000B70A3"/>
    <w:rsid w:val="000C0A41"/>
    <w:rsid w:val="000C0DB4"/>
    <w:rsid w:val="000C6576"/>
    <w:rsid w:val="000E4E29"/>
    <w:rsid w:val="000E668E"/>
    <w:rsid w:val="000F06BE"/>
    <w:rsid w:val="000F3446"/>
    <w:rsid w:val="001004E5"/>
    <w:rsid w:val="0010092A"/>
    <w:rsid w:val="00110D49"/>
    <w:rsid w:val="00113C95"/>
    <w:rsid w:val="00122BFD"/>
    <w:rsid w:val="00123543"/>
    <w:rsid w:val="0012373E"/>
    <w:rsid w:val="00123775"/>
    <w:rsid w:val="001250A6"/>
    <w:rsid w:val="0013090C"/>
    <w:rsid w:val="00135F83"/>
    <w:rsid w:val="00136D3F"/>
    <w:rsid w:val="0014274A"/>
    <w:rsid w:val="00143D91"/>
    <w:rsid w:val="0015016C"/>
    <w:rsid w:val="00151122"/>
    <w:rsid w:val="001511BA"/>
    <w:rsid w:val="001568AB"/>
    <w:rsid w:val="00160C44"/>
    <w:rsid w:val="00162EBE"/>
    <w:rsid w:val="00163437"/>
    <w:rsid w:val="00165273"/>
    <w:rsid w:val="00167A97"/>
    <w:rsid w:val="00170387"/>
    <w:rsid w:val="0017057B"/>
    <w:rsid w:val="00174BCD"/>
    <w:rsid w:val="0017565D"/>
    <w:rsid w:val="00183D64"/>
    <w:rsid w:val="00186252"/>
    <w:rsid w:val="00187EE7"/>
    <w:rsid w:val="001920FE"/>
    <w:rsid w:val="00196ACE"/>
    <w:rsid w:val="00197B5F"/>
    <w:rsid w:val="001A2DDF"/>
    <w:rsid w:val="001A37C4"/>
    <w:rsid w:val="001A42D7"/>
    <w:rsid w:val="001A4526"/>
    <w:rsid w:val="001A7622"/>
    <w:rsid w:val="001B0CD8"/>
    <w:rsid w:val="001B1D52"/>
    <w:rsid w:val="001B4B0D"/>
    <w:rsid w:val="001C12B9"/>
    <w:rsid w:val="001C1E44"/>
    <w:rsid w:val="001C4D87"/>
    <w:rsid w:val="001C61CB"/>
    <w:rsid w:val="001C64F7"/>
    <w:rsid w:val="001C6647"/>
    <w:rsid w:val="001D2252"/>
    <w:rsid w:val="001D236A"/>
    <w:rsid w:val="001D2644"/>
    <w:rsid w:val="001D266E"/>
    <w:rsid w:val="001D4E60"/>
    <w:rsid w:val="001D5DFF"/>
    <w:rsid w:val="001E0AC3"/>
    <w:rsid w:val="001E0D67"/>
    <w:rsid w:val="001E1839"/>
    <w:rsid w:val="001E603E"/>
    <w:rsid w:val="001E64E5"/>
    <w:rsid w:val="001E75B4"/>
    <w:rsid w:val="001F268B"/>
    <w:rsid w:val="001F2E2F"/>
    <w:rsid w:val="001F507F"/>
    <w:rsid w:val="001F7ACB"/>
    <w:rsid w:val="00205A11"/>
    <w:rsid w:val="00206EFA"/>
    <w:rsid w:val="00211AD7"/>
    <w:rsid w:val="00215C5B"/>
    <w:rsid w:val="00215CCC"/>
    <w:rsid w:val="002166B0"/>
    <w:rsid w:val="00216EAA"/>
    <w:rsid w:val="00227DAE"/>
    <w:rsid w:val="002302E5"/>
    <w:rsid w:val="002319F2"/>
    <w:rsid w:val="00233521"/>
    <w:rsid w:val="00233DA0"/>
    <w:rsid w:val="00236EB5"/>
    <w:rsid w:val="00242073"/>
    <w:rsid w:val="00243714"/>
    <w:rsid w:val="00244CA6"/>
    <w:rsid w:val="002473B8"/>
    <w:rsid w:val="0025375A"/>
    <w:rsid w:val="00253851"/>
    <w:rsid w:val="00253BF1"/>
    <w:rsid w:val="00256714"/>
    <w:rsid w:val="00263C0C"/>
    <w:rsid w:val="00272D0F"/>
    <w:rsid w:val="00274C42"/>
    <w:rsid w:val="00276584"/>
    <w:rsid w:val="0028028D"/>
    <w:rsid w:val="0028482E"/>
    <w:rsid w:val="0028511D"/>
    <w:rsid w:val="00291EE0"/>
    <w:rsid w:val="002967AB"/>
    <w:rsid w:val="002A0901"/>
    <w:rsid w:val="002A197F"/>
    <w:rsid w:val="002A2762"/>
    <w:rsid w:val="002A37B0"/>
    <w:rsid w:val="002A443F"/>
    <w:rsid w:val="002A4AC6"/>
    <w:rsid w:val="002A5ADE"/>
    <w:rsid w:val="002A6FD9"/>
    <w:rsid w:val="002A7156"/>
    <w:rsid w:val="002A754C"/>
    <w:rsid w:val="002A7CCE"/>
    <w:rsid w:val="002B145C"/>
    <w:rsid w:val="002B2666"/>
    <w:rsid w:val="002B294C"/>
    <w:rsid w:val="002B3A6D"/>
    <w:rsid w:val="002B4876"/>
    <w:rsid w:val="002C3596"/>
    <w:rsid w:val="002C35D7"/>
    <w:rsid w:val="002C4848"/>
    <w:rsid w:val="002C6775"/>
    <w:rsid w:val="002C6AF6"/>
    <w:rsid w:val="002D2A84"/>
    <w:rsid w:val="002D4521"/>
    <w:rsid w:val="002D562E"/>
    <w:rsid w:val="002E05EB"/>
    <w:rsid w:val="002F074D"/>
    <w:rsid w:val="002F79AE"/>
    <w:rsid w:val="002F7E91"/>
    <w:rsid w:val="00301D91"/>
    <w:rsid w:val="003055CD"/>
    <w:rsid w:val="00306E8C"/>
    <w:rsid w:val="00307449"/>
    <w:rsid w:val="00307DF3"/>
    <w:rsid w:val="00307EFE"/>
    <w:rsid w:val="0031323F"/>
    <w:rsid w:val="0031540F"/>
    <w:rsid w:val="003160AD"/>
    <w:rsid w:val="00322C95"/>
    <w:rsid w:val="00324021"/>
    <w:rsid w:val="0032430E"/>
    <w:rsid w:val="003259AA"/>
    <w:rsid w:val="00325DC0"/>
    <w:rsid w:val="003310DE"/>
    <w:rsid w:val="00333732"/>
    <w:rsid w:val="0033425B"/>
    <w:rsid w:val="0034004D"/>
    <w:rsid w:val="00340CD3"/>
    <w:rsid w:val="00346C85"/>
    <w:rsid w:val="0034742C"/>
    <w:rsid w:val="00347435"/>
    <w:rsid w:val="003509A5"/>
    <w:rsid w:val="003519C0"/>
    <w:rsid w:val="003568A8"/>
    <w:rsid w:val="003658C2"/>
    <w:rsid w:val="003662EF"/>
    <w:rsid w:val="00366BA1"/>
    <w:rsid w:val="00367CDC"/>
    <w:rsid w:val="0037114C"/>
    <w:rsid w:val="0037414C"/>
    <w:rsid w:val="0038081E"/>
    <w:rsid w:val="003809DB"/>
    <w:rsid w:val="00381DF4"/>
    <w:rsid w:val="003835C9"/>
    <w:rsid w:val="00383C65"/>
    <w:rsid w:val="003852BB"/>
    <w:rsid w:val="00385A4E"/>
    <w:rsid w:val="00391293"/>
    <w:rsid w:val="00394941"/>
    <w:rsid w:val="003A2110"/>
    <w:rsid w:val="003A4863"/>
    <w:rsid w:val="003A58D9"/>
    <w:rsid w:val="003B17FE"/>
    <w:rsid w:val="003B18AF"/>
    <w:rsid w:val="003B1F80"/>
    <w:rsid w:val="003B7196"/>
    <w:rsid w:val="003C0310"/>
    <w:rsid w:val="003D0238"/>
    <w:rsid w:val="003D0EDA"/>
    <w:rsid w:val="003D1588"/>
    <w:rsid w:val="003D1D4C"/>
    <w:rsid w:val="003D210B"/>
    <w:rsid w:val="003D4118"/>
    <w:rsid w:val="003D594F"/>
    <w:rsid w:val="003D6388"/>
    <w:rsid w:val="003D6FCA"/>
    <w:rsid w:val="003D74CB"/>
    <w:rsid w:val="003E0D97"/>
    <w:rsid w:val="003E1F75"/>
    <w:rsid w:val="003E5045"/>
    <w:rsid w:val="003E564A"/>
    <w:rsid w:val="003F0AE4"/>
    <w:rsid w:val="003F31DF"/>
    <w:rsid w:val="003F39DE"/>
    <w:rsid w:val="003F7010"/>
    <w:rsid w:val="00401728"/>
    <w:rsid w:val="004049AA"/>
    <w:rsid w:val="00405474"/>
    <w:rsid w:val="00405A3B"/>
    <w:rsid w:val="00405B96"/>
    <w:rsid w:val="00405F6B"/>
    <w:rsid w:val="00410555"/>
    <w:rsid w:val="00410CEA"/>
    <w:rsid w:val="00411DB3"/>
    <w:rsid w:val="004123DA"/>
    <w:rsid w:val="00412B63"/>
    <w:rsid w:val="00414E0F"/>
    <w:rsid w:val="00427079"/>
    <w:rsid w:val="00427BBD"/>
    <w:rsid w:val="00433939"/>
    <w:rsid w:val="004343E1"/>
    <w:rsid w:val="004351C6"/>
    <w:rsid w:val="00437ECE"/>
    <w:rsid w:val="00443F78"/>
    <w:rsid w:val="00446B8D"/>
    <w:rsid w:val="00447688"/>
    <w:rsid w:val="00450955"/>
    <w:rsid w:val="00454F68"/>
    <w:rsid w:val="00456959"/>
    <w:rsid w:val="004629E0"/>
    <w:rsid w:val="004676FA"/>
    <w:rsid w:val="004679DD"/>
    <w:rsid w:val="00467C4F"/>
    <w:rsid w:val="00470BF8"/>
    <w:rsid w:val="00473F2A"/>
    <w:rsid w:val="004815FE"/>
    <w:rsid w:val="004822E0"/>
    <w:rsid w:val="00485AFC"/>
    <w:rsid w:val="004912DF"/>
    <w:rsid w:val="00491FCA"/>
    <w:rsid w:val="00492E39"/>
    <w:rsid w:val="0049686F"/>
    <w:rsid w:val="004974DD"/>
    <w:rsid w:val="004A17AA"/>
    <w:rsid w:val="004A2773"/>
    <w:rsid w:val="004A2A1F"/>
    <w:rsid w:val="004A2BE9"/>
    <w:rsid w:val="004A2CE0"/>
    <w:rsid w:val="004B0BEC"/>
    <w:rsid w:val="004B1812"/>
    <w:rsid w:val="004C28F5"/>
    <w:rsid w:val="004C385C"/>
    <w:rsid w:val="004C442D"/>
    <w:rsid w:val="004C78B5"/>
    <w:rsid w:val="004D0E74"/>
    <w:rsid w:val="004D1176"/>
    <w:rsid w:val="004D28EF"/>
    <w:rsid w:val="004D2E0E"/>
    <w:rsid w:val="004D5579"/>
    <w:rsid w:val="004E25D6"/>
    <w:rsid w:val="004E2755"/>
    <w:rsid w:val="004E2BEF"/>
    <w:rsid w:val="004E5105"/>
    <w:rsid w:val="004E6E89"/>
    <w:rsid w:val="004E7F00"/>
    <w:rsid w:val="00503EC9"/>
    <w:rsid w:val="00504881"/>
    <w:rsid w:val="00505D39"/>
    <w:rsid w:val="00510D55"/>
    <w:rsid w:val="00511E19"/>
    <w:rsid w:val="00512551"/>
    <w:rsid w:val="00512B04"/>
    <w:rsid w:val="00525313"/>
    <w:rsid w:val="00525A32"/>
    <w:rsid w:val="0052749A"/>
    <w:rsid w:val="0053074A"/>
    <w:rsid w:val="00531916"/>
    <w:rsid w:val="005328FC"/>
    <w:rsid w:val="00533D92"/>
    <w:rsid w:val="00540DF7"/>
    <w:rsid w:val="005436FB"/>
    <w:rsid w:val="00545A6C"/>
    <w:rsid w:val="00546814"/>
    <w:rsid w:val="00550304"/>
    <w:rsid w:val="005618C3"/>
    <w:rsid w:val="005619E4"/>
    <w:rsid w:val="0056760B"/>
    <w:rsid w:val="0057099D"/>
    <w:rsid w:val="00573E65"/>
    <w:rsid w:val="0057400F"/>
    <w:rsid w:val="0057576B"/>
    <w:rsid w:val="00575D39"/>
    <w:rsid w:val="00575D71"/>
    <w:rsid w:val="0058022D"/>
    <w:rsid w:val="00583F5D"/>
    <w:rsid w:val="00584A66"/>
    <w:rsid w:val="00590027"/>
    <w:rsid w:val="005936D2"/>
    <w:rsid w:val="00593FDA"/>
    <w:rsid w:val="00594BA2"/>
    <w:rsid w:val="005A383B"/>
    <w:rsid w:val="005A3FD1"/>
    <w:rsid w:val="005A5719"/>
    <w:rsid w:val="005A708A"/>
    <w:rsid w:val="005B0C86"/>
    <w:rsid w:val="005B35C1"/>
    <w:rsid w:val="005B4F9C"/>
    <w:rsid w:val="005C0DA8"/>
    <w:rsid w:val="005C34A4"/>
    <w:rsid w:val="005C415A"/>
    <w:rsid w:val="005C469A"/>
    <w:rsid w:val="005C4DA7"/>
    <w:rsid w:val="005D2E75"/>
    <w:rsid w:val="005D3087"/>
    <w:rsid w:val="005D36EF"/>
    <w:rsid w:val="005D4E2D"/>
    <w:rsid w:val="005E4887"/>
    <w:rsid w:val="005F7042"/>
    <w:rsid w:val="0060000A"/>
    <w:rsid w:val="006019C0"/>
    <w:rsid w:val="00602C10"/>
    <w:rsid w:val="00606762"/>
    <w:rsid w:val="006108CA"/>
    <w:rsid w:val="00611742"/>
    <w:rsid w:val="00611BAF"/>
    <w:rsid w:val="006130D0"/>
    <w:rsid w:val="006132E9"/>
    <w:rsid w:val="0061419C"/>
    <w:rsid w:val="00614D30"/>
    <w:rsid w:val="00615D1E"/>
    <w:rsid w:val="006161AD"/>
    <w:rsid w:val="00617E7C"/>
    <w:rsid w:val="00617FB8"/>
    <w:rsid w:val="0062089E"/>
    <w:rsid w:val="00621981"/>
    <w:rsid w:val="00624AB8"/>
    <w:rsid w:val="00625FBA"/>
    <w:rsid w:val="00626F17"/>
    <w:rsid w:val="00631355"/>
    <w:rsid w:val="00633C5C"/>
    <w:rsid w:val="00633C82"/>
    <w:rsid w:val="00637D4C"/>
    <w:rsid w:val="00641952"/>
    <w:rsid w:val="00643343"/>
    <w:rsid w:val="0064536D"/>
    <w:rsid w:val="0064718C"/>
    <w:rsid w:val="0065078E"/>
    <w:rsid w:val="00650C70"/>
    <w:rsid w:val="006512FC"/>
    <w:rsid w:val="0065692D"/>
    <w:rsid w:val="00660CCA"/>
    <w:rsid w:val="00661079"/>
    <w:rsid w:val="00661D2F"/>
    <w:rsid w:val="0066493A"/>
    <w:rsid w:val="00674475"/>
    <w:rsid w:val="00674F40"/>
    <w:rsid w:val="00675884"/>
    <w:rsid w:val="006766ED"/>
    <w:rsid w:val="006770D8"/>
    <w:rsid w:val="0067755C"/>
    <w:rsid w:val="0067774F"/>
    <w:rsid w:val="0068109B"/>
    <w:rsid w:val="00681CE6"/>
    <w:rsid w:val="00682DE3"/>
    <w:rsid w:val="00686472"/>
    <w:rsid w:val="00690F87"/>
    <w:rsid w:val="00693F0C"/>
    <w:rsid w:val="006A27EE"/>
    <w:rsid w:val="006A2FFD"/>
    <w:rsid w:val="006A5462"/>
    <w:rsid w:val="006B34F7"/>
    <w:rsid w:val="006B6F97"/>
    <w:rsid w:val="006B7DDB"/>
    <w:rsid w:val="006C0AA6"/>
    <w:rsid w:val="006C5F85"/>
    <w:rsid w:val="006D08B9"/>
    <w:rsid w:val="006D200A"/>
    <w:rsid w:val="006D4654"/>
    <w:rsid w:val="006E0D62"/>
    <w:rsid w:val="006E4E9A"/>
    <w:rsid w:val="006F164A"/>
    <w:rsid w:val="006F624B"/>
    <w:rsid w:val="006F6D89"/>
    <w:rsid w:val="006F7776"/>
    <w:rsid w:val="00702193"/>
    <w:rsid w:val="00703790"/>
    <w:rsid w:val="00705B87"/>
    <w:rsid w:val="007103A0"/>
    <w:rsid w:val="00712143"/>
    <w:rsid w:val="007130A4"/>
    <w:rsid w:val="0071583F"/>
    <w:rsid w:val="007207F7"/>
    <w:rsid w:val="007221EB"/>
    <w:rsid w:val="007233ED"/>
    <w:rsid w:val="00723B04"/>
    <w:rsid w:val="007318EB"/>
    <w:rsid w:val="007324A2"/>
    <w:rsid w:val="00733890"/>
    <w:rsid w:val="00734AC9"/>
    <w:rsid w:val="00740453"/>
    <w:rsid w:val="00745429"/>
    <w:rsid w:val="007476D2"/>
    <w:rsid w:val="0075473E"/>
    <w:rsid w:val="00754749"/>
    <w:rsid w:val="00756622"/>
    <w:rsid w:val="007627C9"/>
    <w:rsid w:val="00766715"/>
    <w:rsid w:val="00770A23"/>
    <w:rsid w:val="007710E4"/>
    <w:rsid w:val="00771D57"/>
    <w:rsid w:val="00775EE2"/>
    <w:rsid w:val="00776073"/>
    <w:rsid w:val="007774DA"/>
    <w:rsid w:val="007839BB"/>
    <w:rsid w:val="00784674"/>
    <w:rsid w:val="00787BFB"/>
    <w:rsid w:val="00790F39"/>
    <w:rsid w:val="00791197"/>
    <w:rsid w:val="00791D31"/>
    <w:rsid w:val="007937FE"/>
    <w:rsid w:val="007949AE"/>
    <w:rsid w:val="00795F4D"/>
    <w:rsid w:val="007A18BB"/>
    <w:rsid w:val="007A1D2C"/>
    <w:rsid w:val="007B2237"/>
    <w:rsid w:val="007B231F"/>
    <w:rsid w:val="007B625E"/>
    <w:rsid w:val="007C033F"/>
    <w:rsid w:val="007C1846"/>
    <w:rsid w:val="007C3D7B"/>
    <w:rsid w:val="007C513A"/>
    <w:rsid w:val="007C5795"/>
    <w:rsid w:val="007D302D"/>
    <w:rsid w:val="007D3EB8"/>
    <w:rsid w:val="007D6298"/>
    <w:rsid w:val="007D66D7"/>
    <w:rsid w:val="007E20DC"/>
    <w:rsid w:val="007E236F"/>
    <w:rsid w:val="007E34E4"/>
    <w:rsid w:val="007F2EFA"/>
    <w:rsid w:val="007F579E"/>
    <w:rsid w:val="007F57E5"/>
    <w:rsid w:val="007F5ADB"/>
    <w:rsid w:val="008065C4"/>
    <w:rsid w:val="008068F9"/>
    <w:rsid w:val="00807705"/>
    <w:rsid w:val="00807C56"/>
    <w:rsid w:val="0081048F"/>
    <w:rsid w:val="00811616"/>
    <w:rsid w:val="00814BEC"/>
    <w:rsid w:val="00814DCB"/>
    <w:rsid w:val="0081621D"/>
    <w:rsid w:val="00817ED2"/>
    <w:rsid w:val="008343B9"/>
    <w:rsid w:val="00835F69"/>
    <w:rsid w:val="00836CC4"/>
    <w:rsid w:val="00843E42"/>
    <w:rsid w:val="00844553"/>
    <w:rsid w:val="00844606"/>
    <w:rsid w:val="008471ED"/>
    <w:rsid w:val="00850669"/>
    <w:rsid w:val="0085092E"/>
    <w:rsid w:val="00850DC6"/>
    <w:rsid w:val="00850E2F"/>
    <w:rsid w:val="008547E6"/>
    <w:rsid w:val="008572A6"/>
    <w:rsid w:val="008653E7"/>
    <w:rsid w:val="008759BF"/>
    <w:rsid w:val="00875B83"/>
    <w:rsid w:val="00880EF6"/>
    <w:rsid w:val="00882203"/>
    <w:rsid w:val="0088797E"/>
    <w:rsid w:val="00887987"/>
    <w:rsid w:val="008903F6"/>
    <w:rsid w:val="008933F1"/>
    <w:rsid w:val="00893E0F"/>
    <w:rsid w:val="0089608D"/>
    <w:rsid w:val="008A0DE2"/>
    <w:rsid w:val="008A4162"/>
    <w:rsid w:val="008A46FE"/>
    <w:rsid w:val="008A53D8"/>
    <w:rsid w:val="008A75B3"/>
    <w:rsid w:val="008A7936"/>
    <w:rsid w:val="008A7AF2"/>
    <w:rsid w:val="008B256E"/>
    <w:rsid w:val="008B2981"/>
    <w:rsid w:val="008B413E"/>
    <w:rsid w:val="008B4EDD"/>
    <w:rsid w:val="008C0EE3"/>
    <w:rsid w:val="008C3927"/>
    <w:rsid w:val="008C4EFB"/>
    <w:rsid w:val="008C6B39"/>
    <w:rsid w:val="008D0271"/>
    <w:rsid w:val="008D081F"/>
    <w:rsid w:val="008D09EA"/>
    <w:rsid w:val="008D1B94"/>
    <w:rsid w:val="008D2C22"/>
    <w:rsid w:val="008D3A1A"/>
    <w:rsid w:val="008D43E4"/>
    <w:rsid w:val="008D4808"/>
    <w:rsid w:val="008D4F14"/>
    <w:rsid w:val="008D7B9A"/>
    <w:rsid w:val="008E2035"/>
    <w:rsid w:val="008E23C5"/>
    <w:rsid w:val="008F0F43"/>
    <w:rsid w:val="008F1027"/>
    <w:rsid w:val="008F10F2"/>
    <w:rsid w:val="008F29DF"/>
    <w:rsid w:val="008F5340"/>
    <w:rsid w:val="008F792A"/>
    <w:rsid w:val="008F7AFF"/>
    <w:rsid w:val="00901EC5"/>
    <w:rsid w:val="00902186"/>
    <w:rsid w:val="00902D60"/>
    <w:rsid w:val="009049B7"/>
    <w:rsid w:val="00910798"/>
    <w:rsid w:val="00911FB9"/>
    <w:rsid w:val="009125B1"/>
    <w:rsid w:val="00916638"/>
    <w:rsid w:val="00920F54"/>
    <w:rsid w:val="009239D6"/>
    <w:rsid w:val="00926A49"/>
    <w:rsid w:val="00932EFC"/>
    <w:rsid w:val="00937886"/>
    <w:rsid w:val="00937C95"/>
    <w:rsid w:val="00942A9C"/>
    <w:rsid w:val="00952B56"/>
    <w:rsid w:val="009535EB"/>
    <w:rsid w:val="00954176"/>
    <w:rsid w:val="009550C0"/>
    <w:rsid w:val="00955E13"/>
    <w:rsid w:val="00957108"/>
    <w:rsid w:val="00957F5B"/>
    <w:rsid w:val="0096448A"/>
    <w:rsid w:val="00965F15"/>
    <w:rsid w:val="00971538"/>
    <w:rsid w:val="009726EA"/>
    <w:rsid w:val="009758C6"/>
    <w:rsid w:val="00976A6F"/>
    <w:rsid w:val="009827EF"/>
    <w:rsid w:val="00984989"/>
    <w:rsid w:val="009855D4"/>
    <w:rsid w:val="009904FA"/>
    <w:rsid w:val="00997218"/>
    <w:rsid w:val="009A7B6B"/>
    <w:rsid w:val="009B01BC"/>
    <w:rsid w:val="009B0450"/>
    <w:rsid w:val="009B1036"/>
    <w:rsid w:val="009B1767"/>
    <w:rsid w:val="009B60AD"/>
    <w:rsid w:val="009B7EA7"/>
    <w:rsid w:val="009C0B57"/>
    <w:rsid w:val="009C1257"/>
    <w:rsid w:val="009C57A4"/>
    <w:rsid w:val="009C6C3F"/>
    <w:rsid w:val="009C78C1"/>
    <w:rsid w:val="009D1395"/>
    <w:rsid w:val="009D2131"/>
    <w:rsid w:val="009D3CFF"/>
    <w:rsid w:val="009D683C"/>
    <w:rsid w:val="009E0489"/>
    <w:rsid w:val="009E1380"/>
    <w:rsid w:val="009E4C76"/>
    <w:rsid w:val="009E5067"/>
    <w:rsid w:val="009F1BF2"/>
    <w:rsid w:val="009F20B3"/>
    <w:rsid w:val="009F56EC"/>
    <w:rsid w:val="00A00D90"/>
    <w:rsid w:val="00A024D2"/>
    <w:rsid w:val="00A05CDE"/>
    <w:rsid w:val="00A0642D"/>
    <w:rsid w:val="00A06EEA"/>
    <w:rsid w:val="00A112CF"/>
    <w:rsid w:val="00A1161E"/>
    <w:rsid w:val="00A14075"/>
    <w:rsid w:val="00A23CB2"/>
    <w:rsid w:val="00A302B4"/>
    <w:rsid w:val="00A3055A"/>
    <w:rsid w:val="00A30BDA"/>
    <w:rsid w:val="00A3238F"/>
    <w:rsid w:val="00A34C30"/>
    <w:rsid w:val="00A41DEB"/>
    <w:rsid w:val="00A426E4"/>
    <w:rsid w:val="00A45738"/>
    <w:rsid w:val="00A533C2"/>
    <w:rsid w:val="00A55383"/>
    <w:rsid w:val="00A609FC"/>
    <w:rsid w:val="00A60D6F"/>
    <w:rsid w:val="00A62E64"/>
    <w:rsid w:val="00A64F9E"/>
    <w:rsid w:val="00A65574"/>
    <w:rsid w:val="00A668D4"/>
    <w:rsid w:val="00A67C0D"/>
    <w:rsid w:val="00A67FCF"/>
    <w:rsid w:val="00A70D9D"/>
    <w:rsid w:val="00A7329B"/>
    <w:rsid w:val="00A761E1"/>
    <w:rsid w:val="00A766AB"/>
    <w:rsid w:val="00A76765"/>
    <w:rsid w:val="00A80D9A"/>
    <w:rsid w:val="00A852C1"/>
    <w:rsid w:val="00A9150A"/>
    <w:rsid w:val="00A96B12"/>
    <w:rsid w:val="00A97799"/>
    <w:rsid w:val="00AA0C93"/>
    <w:rsid w:val="00AA2998"/>
    <w:rsid w:val="00AA3D55"/>
    <w:rsid w:val="00AA3F27"/>
    <w:rsid w:val="00AA4BD7"/>
    <w:rsid w:val="00AA64EF"/>
    <w:rsid w:val="00AB00B5"/>
    <w:rsid w:val="00AB0110"/>
    <w:rsid w:val="00AB14B9"/>
    <w:rsid w:val="00AB1CA0"/>
    <w:rsid w:val="00AB1D6B"/>
    <w:rsid w:val="00AB2C00"/>
    <w:rsid w:val="00AB2C11"/>
    <w:rsid w:val="00AC5D9D"/>
    <w:rsid w:val="00AC66E5"/>
    <w:rsid w:val="00AC7B01"/>
    <w:rsid w:val="00AD2AA5"/>
    <w:rsid w:val="00AD377E"/>
    <w:rsid w:val="00AD7224"/>
    <w:rsid w:val="00AD7659"/>
    <w:rsid w:val="00AE3091"/>
    <w:rsid w:val="00AE58A0"/>
    <w:rsid w:val="00AE5E5A"/>
    <w:rsid w:val="00AE6706"/>
    <w:rsid w:val="00AF0DC1"/>
    <w:rsid w:val="00AF1CCD"/>
    <w:rsid w:val="00AF27B3"/>
    <w:rsid w:val="00AF52B0"/>
    <w:rsid w:val="00B0048E"/>
    <w:rsid w:val="00B025C0"/>
    <w:rsid w:val="00B03737"/>
    <w:rsid w:val="00B13009"/>
    <w:rsid w:val="00B13AD2"/>
    <w:rsid w:val="00B15B1C"/>
    <w:rsid w:val="00B15DBB"/>
    <w:rsid w:val="00B20345"/>
    <w:rsid w:val="00B208F5"/>
    <w:rsid w:val="00B24B30"/>
    <w:rsid w:val="00B269CB"/>
    <w:rsid w:val="00B272E3"/>
    <w:rsid w:val="00B27607"/>
    <w:rsid w:val="00B30715"/>
    <w:rsid w:val="00B317B9"/>
    <w:rsid w:val="00B326CC"/>
    <w:rsid w:val="00B32711"/>
    <w:rsid w:val="00B333C4"/>
    <w:rsid w:val="00B35C81"/>
    <w:rsid w:val="00B4071E"/>
    <w:rsid w:val="00B4095C"/>
    <w:rsid w:val="00B53328"/>
    <w:rsid w:val="00B60329"/>
    <w:rsid w:val="00B608F6"/>
    <w:rsid w:val="00B626B9"/>
    <w:rsid w:val="00B63C5E"/>
    <w:rsid w:val="00B72942"/>
    <w:rsid w:val="00B74925"/>
    <w:rsid w:val="00B756D1"/>
    <w:rsid w:val="00B82F08"/>
    <w:rsid w:val="00B84A53"/>
    <w:rsid w:val="00B90127"/>
    <w:rsid w:val="00B9072B"/>
    <w:rsid w:val="00B90EC8"/>
    <w:rsid w:val="00B925DC"/>
    <w:rsid w:val="00B92BA7"/>
    <w:rsid w:val="00BA0231"/>
    <w:rsid w:val="00BA0D37"/>
    <w:rsid w:val="00BA2D3F"/>
    <w:rsid w:val="00BA2FA6"/>
    <w:rsid w:val="00BA5BA0"/>
    <w:rsid w:val="00BA5F97"/>
    <w:rsid w:val="00BB0DBF"/>
    <w:rsid w:val="00BB469D"/>
    <w:rsid w:val="00BB474C"/>
    <w:rsid w:val="00BB50C8"/>
    <w:rsid w:val="00BB54E7"/>
    <w:rsid w:val="00BC63FA"/>
    <w:rsid w:val="00BC7A73"/>
    <w:rsid w:val="00BD1118"/>
    <w:rsid w:val="00BD6589"/>
    <w:rsid w:val="00BE4678"/>
    <w:rsid w:val="00BE4BDF"/>
    <w:rsid w:val="00BE6B0E"/>
    <w:rsid w:val="00BE72F9"/>
    <w:rsid w:val="00BF1703"/>
    <w:rsid w:val="00BF4C0C"/>
    <w:rsid w:val="00C01187"/>
    <w:rsid w:val="00C01265"/>
    <w:rsid w:val="00C04165"/>
    <w:rsid w:val="00C06EBD"/>
    <w:rsid w:val="00C1194B"/>
    <w:rsid w:val="00C1468F"/>
    <w:rsid w:val="00C25943"/>
    <w:rsid w:val="00C31D2D"/>
    <w:rsid w:val="00C3794A"/>
    <w:rsid w:val="00C37E89"/>
    <w:rsid w:val="00C45AAA"/>
    <w:rsid w:val="00C46E73"/>
    <w:rsid w:val="00C60318"/>
    <w:rsid w:val="00C61FDE"/>
    <w:rsid w:val="00C6343A"/>
    <w:rsid w:val="00C64333"/>
    <w:rsid w:val="00C64EB1"/>
    <w:rsid w:val="00C74BC8"/>
    <w:rsid w:val="00C8472B"/>
    <w:rsid w:val="00C84928"/>
    <w:rsid w:val="00C900D2"/>
    <w:rsid w:val="00C91332"/>
    <w:rsid w:val="00C9196E"/>
    <w:rsid w:val="00C93D88"/>
    <w:rsid w:val="00C9571E"/>
    <w:rsid w:val="00CA37F2"/>
    <w:rsid w:val="00CA5F24"/>
    <w:rsid w:val="00CC049C"/>
    <w:rsid w:val="00CC4F82"/>
    <w:rsid w:val="00CC4FC1"/>
    <w:rsid w:val="00CC6820"/>
    <w:rsid w:val="00CC69B8"/>
    <w:rsid w:val="00CC6DED"/>
    <w:rsid w:val="00CD0424"/>
    <w:rsid w:val="00CD3E27"/>
    <w:rsid w:val="00CD40BC"/>
    <w:rsid w:val="00CD4B12"/>
    <w:rsid w:val="00CD54AB"/>
    <w:rsid w:val="00CD7A68"/>
    <w:rsid w:val="00CE1050"/>
    <w:rsid w:val="00CE2C3E"/>
    <w:rsid w:val="00CE309B"/>
    <w:rsid w:val="00CE38D7"/>
    <w:rsid w:val="00CE68F8"/>
    <w:rsid w:val="00CE6A03"/>
    <w:rsid w:val="00CF045D"/>
    <w:rsid w:val="00CF099C"/>
    <w:rsid w:val="00CF6E2B"/>
    <w:rsid w:val="00D00B0F"/>
    <w:rsid w:val="00D02043"/>
    <w:rsid w:val="00D050FA"/>
    <w:rsid w:val="00D05612"/>
    <w:rsid w:val="00D05939"/>
    <w:rsid w:val="00D079A3"/>
    <w:rsid w:val="00D07EE5"/>
    <w:rsid w:val="00D12781"/>
    <w:rsid w:val="00D23B9A"/>
    <w:rsid w:val="00D25B8B"/>
    <w:rsid w:val="00D25DE7"/>
    <w:rsid w:val="00D30CB3"/>
    <w:rsid w:val="00D31A67"/>
    <w:rsid w:val="00D3401C"/>
    <w:rsid w:val="00D40D19"/>
    <w:rsid w:val="00D41845"/>
    <w:rsid w:val="00D51574"/>
    <w:rsid w:val="00D629C7"/>
    <w:rsid w:val="00D643A7"/>
    <w:rsid w:val="00D653E1"/>
    <w:rsid w:val="00D6608B"/>
    <w:rsid w:val="00D676D6"/>
    <w:rsid w:val="00D739EF"/>
    <w:rsid w:val="00D7400A"/>
    <w:rsid w:val="00D770CC"/>
    <w:rsid w:val="00D8310F"/>
    <w:rsid w:val="00D86611"/>
    <w:rsid w:val="00D87BAE"/>
    <w:rsid w:val="00D900A2"/>
    <w:rsid w:val="00D9010A"/>
    <w:rsid w:val="00D94904"/>
    <w:rsid w:val="00D97CA7"/>
    <w:rsid w:val="00DA0234"/>
    <w:rsid w:val="00DA0A71"/>
    <w:rsid w:val="00DA12F1"/>
    <w:rsid w:val="00DA2EEA"/>
    <w:rsid w:val="00DA322E"/>
    <w:rsid w:val="00DA3C13"/>
    <w:rsid w:val="00DA488D"/>
    <w:rsid w:val="00DA5E34"/>
    <w:rsid w:val="00DA7B7A"/>
    <w:rsid w:val="00DB1142"/>
    <w:rsid w:val="00DB46AE"/>
    <w:rsid w:val="00DB46E5"/>
    <w:rsid w:val="00DB7387"/>
    <w:rsid w:val="00DB7B33"/>
    <w:rsid w:val="00DC10A0"/>
    <w:rsid w:val="00DC3DD2"/>
    <w:rsid w:val="00DC623E"/>
    <w:rsid w:val="00DC72AC"/>
    <w:rsid w:val="00DD0C77"/>
    <w:rsid w:val="00DD2286"/>
    <w:rsid w:val="00DD6E51"/>
    <w:rsid w:val="00DD75A0"/>
    <w:rsid w:val="00DE0489"/>
    <w:rsid w:val="00DE1511"/>
    <w:rsid w:val="00DE738C"/>
    <w:rsid w:val="00DF062D"/>
    <w:rsid w:val="00DF0E87"/>
    <w:rsid w:val="00DF1796"/>
    <w:rsid w:val="00DF5531"/>
    <w:rsid w:val="00DF71E6"/>
    <w:rsid w:val="00E01675"/>
    <w:rsid w:val="00E02B2B"/>
    <w:rsid w:val="00E031DA"/>
    <w:rsid w:val="00E03C27"/>
    <w:rsid w:val="00E0461F"/>
    <w:rsid w:val="00E04843"/>
    <w:rsid w:val="00E0535C"/>
    <w:rsid w:val="00E05579"/>
    <w:rsid w:val="00E07FD1"/>
    <w:rsid w:val="00E1639D"/>
    <w:rsid w:val="00E16550"/>
    <w:rsid w:val="00E16D53"/>
    <w:rsid w:val="00E170DE"/>
    <w:rsid w:val="00E20C38"/>
    <w:rsid w:val="00E23530"/>
    <w:rsid w:val="00E23709"/>
    <w:rsid w:val="00E24EA8"/>
    <w:rsid w:val="00E27ACD"/>
    <w:rsid w:val="00E30D48"/>
    <w:rsid w:val="00E30E25"/>
    <w:rsid w:val="00E312EC"/>
    <w:rsid w:val="00E31719"/>
    <w:rsid w:val="00E32BBC"/>
    <w:rsid w:val="00E34C98"/>
    <w:rsid w:val="00E42372"/>
    <w:rsid w:val="00E44CA1"/>
    <w:rsid w:val="00E46277"/>
    <w:rsid w:val="00E47DE0"/>
    <w:rsid w:val="00E54948"/>
    <w:rsid w:val="00E5520B"/>
    <w:rsid w:val="00E564BE"/>
    <w:rsid w:val="00E57EE3"/>
    <w:rsid w:val="00E602F0"/>
    <w:rsid w:val="00E6412F"/>
    <w:rsid w:val="00E6420C"/>
    <w:rsid w:val="00E65214"/>
    <w:rsid w:val="00E65CD9"/>
    <w:rsid w:val="00E668CF"/>
    <w:rsid w:val="00E70344"/>
    <w:rsid w:val="00E7035F"/>
    <w:rsid w:val="00E707D8"/>
    <w:rsid w:val="00E72B8C"/>
    <w:rsid w:val="00E731F8"/>
    <w:rsid w:val="00E764D6"/>
    <w:rsid w:val="00E766A9"/>
    <w:rsid w:val="00E804E8"/>
    <w:rsid w:val="00E828E3"/>
    <w:rsid w:val="00E833B1"/>
    <w:rsid w:val="00E834B4"/>
    <w:rsid w:val="00E8680A"/>
    <w:rsid w:val="00E909F1"/>
    <w:rsid w:val="00E90B8A"/>
    <w:rsid w:val="00E9113E"/>
    <w:rsid w:val="00E926FF"/>
    <w:rsid w:val="00E92902"/>
    <w:rsid w:val="00E93ED7"/>
    <w:rsid w:val="00E94815"/>
    <w:rsid w:val="00E96552"/>
    <w:rsid w:val="00EA2296"/>
    <w:rsid w:val="00EA631D"/>
    <w:rsid w:val="00EB04BF"/>
    <w:rsid w:val="00EB20C0"/>
    <w:rsid w:val="00EB50B8"/>
    <w:rsid w:val="00EB64D2"/>
    <w:rsid w:val="00EC2191"/>
    <w:rsid w:val="00EC4F14"/>
    <w:rsid w:val="00EC6A6A"/>
    <w:rsid w:val="00EC7E1E"/>
    <w:rsid w:val="00EC7EB3"/>
    <w:rsid w:val="00ED1E8D"/>
    <w:rsid w:val="00ED2439"/>
    <w:rsid w:val="00ED6AC9"/>
    <w:rsid w:val="00ED718B"/>
    <w:rsid w:val="00ED75B6"/>
    <w:rsid w:val="00EE2C9D"/>
    <w:rsid w:val="00EF15BD"/>
    <w:rsid w:val="00EF17D4"/>
    <w:rsid w:val="00EF23EC"/>
    <w:rsid w:val="00F05982"/>
    <w:rsid w:val="00F120AE"/>
    <w:rsid w:val="00F1270D"/>
    <w:rsid w:val="00F13B74"/>
    <w:rsid w:val="00F13EF7"/>
    <w:rsid w:val="00F1625E"/>
    <w:rsid w:val="00F169CF"/>
    <w:rsid w:val="00F17B82"/>
    <w:rsid w:val="00F250CA"/>
    <w:rsid w:val="00F2697B"/>
    <w:rsid w:val="00F278DD"/>
    <w:rsid w:val="00F332C2"/>
    <w:rsid w:val="00F33958"/>
    <w:rsid w:val="00F33ECF"/>
    <w:rsid w:val="00F36A2B"/>
    <w:rsid w:val="00F37E54"/>
    <w:rsid w:val="00F423D6"/>
    <w:rsid w:val="00F425F2"/>
    <w:rsid w:val="00F430C7"/>
    <w:rsid w:val="00F45972"/>
    <w:rsid w:val="00F5188F"/>
    <w:rsid w:val="00F55DA7"/>
    <w:rsid w:val="00F55EAA"/>
    <w:rsid w:val="00F5695C"/>
    <w:rsid w:val="00F57640"/>
    <w:rsid w:val="00F57EDB"/>
    <w:rsid w:val="00F65575"/>
    <w:rsid w:val="00F65EC9"/>
    <w:rsid w:val="00F67B9D"/>
    <w:rsid w:val="00F71F61"/>
    <w:rsid w:val="00F72074"/>
    <w:rsid w:val="00F76132"/>
    <w:rsid w:val="00F77424"/>
    <w:rsid w:val="00F8007C"/>
    <w:rsid w:val="00F80856"/>
    <w:rsid w:val="00F81B7C"/>
    <w:rsid w:val="00F8724B"/>
    <w:rsid w:val="00F9099E"/>
    <w:rsid w:val="00F909E2"/>
    <w:rsid w:val="00F91A5E"/>
    <w:rsid w:val="00F9375D"/>
    <w:rsid w:val="00F96997"/>
    <w:rsid w:val="00FA65B2"/>
    <w:rsid w:val="00FA7A10"/>
    <w:rsid w:val="00FB073E"/>
    <w:rsid w:val="00FB1449"/>
    <w:rsid w:val="00FB1B31"/>
    <w:rsid w:val="00FB27B8"/>
    <w:rsid w:val="00FB4233"/>
    <w:rsid w:val="00FB53AD"/>
    <w:rsid w:val="00FB55F2"/>
    <w:rsid w:val="00FB6B13"/>
    <w:rsid w:val="00FC3753"/>
    <w:rsid w:val="00FC39A1"/>
    <w:rsid w:val="00FD0D76"/>
    <w:rsid w:val="00FD2A94"/>
    <w:rsid w:val="00FE4FA0"/>
    <w:rsid w:val="00FE62AC"/>
    <w:rsid w:val="00FF3FD4"/>
    <w:rsid w:val="00FF4DA5"/>
    <w:rsid w:val="00FF5483"/>
    <w:rsid w:val="00FF5F4E"/>
    <w:rsid w:val="00FF6B35"/>
    <w:rsid w:val="00FF75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D01621-45A9-42C9-B813-BD1303EC7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0CD8"/>
    <w:pPr>
      <w:spacing w:after="0" w:line="240" w:lineRule="auto"/>
    </w:pPr>
    <w:rPr>
      <w:rFonts w:ascii="Times New Roman CYR" w:eastAsia="Times New Roman" w:hAnsi="Times New Roman CYR" w:cs="Times New Roman"/>
      <w:sz w:val="20"/>
      <w:szCs w:val="20"/>
      <w:lang w:eastAsia="ru-RU"/>
    </w:rPr>
  </w:style>
  <w:style w:type="paragraph" w:styleId="1">
    <w:name w:val="heading 1"/>
    <w:basedOn w:val="a"/>
    <w:next w:val="a"/>
    <w:link w:val="10"/>
    <w:qFormat/>
    <w:rsid w:val="001B0CD8"/>
    <w:pPr>
      <w:keepNext/>
      <w:jc w:val="both"/>
      <w:outlineLvl w:val="0"/>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0CD8"/>
    <w:rPr>
      <w:rFonts w:ascii="Times New Roman" w:eastAsia="Times New Roman" w:hAnsi="Times New Roman" w:cs="Times New Roman"/>
      <w:b/>
      <w:bCs/>
      <w:sz w:val="24"/>
      <w:szCs w:val="24"/>
      <w:lang w:eastAsia="ru-RU"/>
    </w:rPr>
  </w:style>
  <w:style w:type="paragraph" w:styleId="a3">
    <w:name w:val="header"/>
    <w:basedOn w:val="a"/>
    <w:link w:val="a4"/>
    <w:uiPriority w:val="99"/>
    <w:rsid w:val="001B0CD8"/>
    <w:pPr>
      <w:tabs>
        <w:tab w:val="center" w:pos="4677"/>
        <w:tab w:val="right" w:pos="9355"/>
      </w:tabs>
    </w:pPr>
  </w:style>
  <w:style w:type="character" w:customStyle="1" w:styleId="a4">
    <w:name w:val="Верхний колонтитул Знак"/>
    <w:basedOn w:val="a0"/>
    <w:link w:val="a3"/>
    <w:uiPriority w:val="99"/>
    <w:rsid w:val="001B0CD8"/>
    <w:rPr>
      <w:rFonts w:ascii="Times New Roman CYR" w:eastAsia="Times New Roman" w:hAnsi="Times New Roman CYR" w:cs="Times New Roman"/>
      <w:sz w:val="20"/>
      <w:szCs w:val="20"/>
      <w:lang w:eastAsia="ru-RU"/>
    </w:rPr>
  </w:style>
  <w:style w:type="character" w:styleId="a5">
    <w:name w:val="page number"/>
    <w:basedOn w:val="a0"/>
    <w:rsid w:val="001B0CD8"/>
    <w:rPr>
      <w:rFonts w:cs="Times New Roman"/>
    </w:rPr>
  </w:style>
  <w:style w:type="character" w:styleId="a6">
    <w:name w:val="Strong"/>
    <w:basedOn w:val="a0"/>
    <w:qFormat/>
    <w:rsid w:val="001B0CD8"/>
    <w:rPr>
      <w:rFonts w:cs="Times New Roman"/>
      <w:b/>
      <w:bCs/>
    </w:rPr>
  </w:style>
  <w:style w:type="paragraph" w:styleId="a7">
    <w:name w:val="Normal (Web)"/>
    <w:basedOn w:val="a"/>
    <w:rsid w:val="001B0CD8"/>
    <w:pPr>
      <w:spacing w:before="100" w:beforeAutospacing="1" w:after="100" w:afterAutospacing="1"/>
    </w:pPr>
    <w:rPr>
      <w:rFonts w:ascii="Times New Roman" w:hAnsi="Times New Roman"/>
      <w:sz w:val="24"/>
      <w:szCs w:val="24"/>
      <w:lang w:val="ru-RU"/>
    </w:rPr>
  </w:style>
  <w:style w:type="paragraph" w:styleId="a8">
    <w:name w:val="No Spacing"/>
    <w:qFormat/>
    <w:rsid w:val="001B0CD8"/>
    <w:pPr>
      <w:spacing w:after="0" w:line="240" w:lineRule="auto"/>
    </w:pPr>
    <w:rPr>
      <w:rFonts w:ascii="Calibri" w:eastAsia="Times New Roman" w:hAnsi="Calibri" w:cs="Times New Roman"/>
      <w:lang w:val="ru-RU" w:eastAsia="ru-RU"/>
    </w:rPr>
  </w:style>
  <w:style w:type="paragraph" w:styleId="a9">
    <w:name w:val="Body Text Indent"/>
    <w:basedOn w:val="a"/>
    <w:link w:val="aa"/>
    <w:rsid w:val="001B0CD8"/>
    <w:pPr>
      <w:ind w:left="5670"/>
      <w:jc w:val="both"/>
    </w:pPr>
    <w:rPr>
      <w:rFonts w:ascii="Times New Roman" w:hAnsi="Times New Roman"/>
      <w:sz w:val="28"/>
    </w:rPr>
  </w:style>
  <w:style w:type="character" w:customStyle="1" w:styleId="aa">
    <w:name w:val="Основной текст с отступом Знак"/>
    <w:basedOn w:val="a0"/>
    <w:link w:val="a9"/>
    <w:rsid w:val="001B0CD8"/>
    <w:rPr>
      <w:rFonts w:ascii="Times New Roman" w:eastAsia="Times New Roman" w:hAnsi="Times New Roman" w:cs="Times New Roman"/>
      <w:sz w:val="28"/>
      <w:szCs w:val="20"/>
      <w:lang w:eastAsia="ru-RU"/>
    </w:rPr>
  </w:style>
  <w:style w:type="character" w:customStyle="1" w:styleId="apple-style-span">
    <w:name w:val="apple-style-span"/>
    <w:basedOn w:val="a0"/>
    <w:rsid w:val="001B0CD8"/>
  </w:style>
  <w:style w:type="character" w:customStyle="1" w:styleId="FontStyle12">
    <w:name w:val="Font Style12"/>
    <w:rsid w:val="001B0CD8"/>
    <w:rPr>
      <w:rFonts w:ascii="Times New Roman" w:hAnsi="Times New Roman"/>
      <w:sz w:val="26"/>
    </w:rPr>
  </w:style>
  <w:style w:type="paragraph" w:styleId="ab">
    <w:name w:val="footer"/>
    <w:basedOn w:val="a"/>
    <w:link w:val="ac"/>
    <w:uiPriority w:val="99"/>
    <w:semiHidden/>
    <w:unhideWhenUsed/>
    <w:rsid w:val="001B0CD8"/>
    <w:pPr>
      <w:tabs>
        <w:tab w:val="center" w:pos="4819"/>
        <w:tab w:val="right" w:pos="9639"/>
      </w:tabs>
    </w:pPr>
  </w:style>
  <w:style w:type="character" w:customStyle="1" w:styleId="ac">
    <w:name w:val="Нижний колонтитул Знак"/>
    <w:basedOn w:val="a0"/>
    <w:link w:val="ab"/>
    <w:uiPriority w:val="99"/>
    <w:semiHidden/>
    <w:rsid w:val="001B0CD8"/>
    <w:rPr>
      <w:rFonts w:ascii="Times New Roman CYR" w:eastAsia="Times New Roman" w:hAnsi="Times New Roman CYR"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5.xml"/><Relationship Id="rId4" Type="http://schemas.openxmlformats.org/officeDocument/2006/relationships/footnotes" Target="footnotes.xml"/><Relationship Id="rId9"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18770</Words>
  <Characters>10699</Characters>
  <Application>Microsoft Office Word</Application>
  <DocSecurity>0</DocSecurity>
  <Lines>89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invest4</dc:creator>
  <cp:lastModifiedBy>Yuri</cp:lastModifiedBy>
  <cp:revision>2</cp:revision>
  <dcterms:created xsi:type="dcterms:W3CDTF">2020-04-01T07:36:00Z</dcterms:created>
  <dcterms:modified xsi:type="dcterms:W3CDTF">2020-04-01T07:36:00Z</dcterms:modified>
</cp:coreProperties>
</file>