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7F9" w:rsidRDefault="006837F9" w:rsidP="006837F9">
      <w:pPr>
        <w:rPr>
          <w:b/>
          <w:lang w:val="en-US"/>
        </w:rPr>
      </w:pPr>
      <w:bookmarkStart w:id="0" w:name="_GoBack"/>
      <w:bookmarkEnd w:id="0"/>
    </w:p>
    <w:p w:rsidR="00116390" w:rsidRDefault="00AF7ECA" w:rsidP="006837F9">
      <w:pPr>
        <w:autoSpaceDE w:val="0"/>
        <w:autoSpaceDN w:val="0"/>
        <w:adjustRightInd w:val="0"/>
        <w:jc w:val="center"/>
        <w:rPr>
          <w:rFonts w:ascii="Times New Roman CYR" w:hAnsi="Times New Roman CYR" w:cs="Times New Roman CYR"/>
          <w:b/>
          <w:bCs/>
          <w:sz w:val="32"/>
          <w:szCs w:val="32"/>
          <w:lang w:val="en-US"/>
        </w:rPr>
      </w:pPr>
      <w:r w:rsidRPr="00050F4E">
        <w:rPr>
          <w:b/>
          <w:noProof/>
          <w:lang w:val="en-US" w:eastAsia="en-US"/>
        </w:rPr>
        <w:drawing>
          <wp:inline distT="0" distB="0" distL="0" distR="0">
            <wp:extent cx="504825" cy="6858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D61908" w:rsidRDefault="00D61908" w:rsidP="00D61908">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У К Р А Ї Н А</w:t>
      </w:r>
    </w:p>
    <w:p w:rsidR="00D61908" w:rsidRDefault="00D61908" w:rsidP="00D61908">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Чернівецька міська рада</w:t>
      </w:r>
    </w:p>
    <w:p w:rsidR="00D61908" w:rsidRDefault="001844A9" w:rsidP="00D61908">
      <w:pPr>
        <w:autoSpaceDE w:val="0"/>
        <w:autoSpaceDN w:val="0"/>
        <w:adjustRightInd w:val="0"/>
        <w:jc w:val="center"/>
        <w:rPr>
          <w:rFonts w:ascii="Times New Roman CYR" w:hAnsi="Times New Roman CYR" w:cs="Times New Roman CYR"/>
          <w:b/>
          <w:bCs/>
          <w:sz w:val="32"/>
          <w:szCs w:val="32"/>
        </w:rPr>
      </w:pPr>
      <w:r>
        <w:rPr>
          <w:b/>
          <w:bCs/>
          <w:sz w:val="32"/>
          <w:szCs w:val="32"/>
          <w:lang w:val="en-US"/>
        </w:rPr>
        <w:t>76</w:t>
      </w:r>
      <w:r w:rsidR="00D61908" w:rsidRPr="00D61908">
        <w:rPr>
          <w:b/>
          <w:bCs/>
          <w:sz w:val="32"/>
          <w:szCs w:val="32"/>
          <w:lang w:val="ru-RU"/>
        </w:rPr>
        <w:t xml:space="preserve"> </w:t>
      </w:r>
      <w:r w:rsidR="00D61908">
        <w:rPr>
          <w:rFonts w:ascii="Times New Roman CYR" w:hAnsi="Times New Roman CYR" w:cs="Times New Roman CYR"/>
          <w:b/>
          <w:bCs/>
          <w:sz w:val="32"/>
          <w:szCs w:val="32"/>
        </w:rPr>
        <w:t>сесія  VІІ  скликання</w:t>
      </w:r>
    </w:p>
    <w:p w:rsidR="00D61908" w:rsidRDefault="00D61908" w:rsidP="00D61908">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 xml:space="preserve">Р І Ш Е Н Н Я                                                                                                                                                                                                                                                                                                                                                                                                                                                                                                                                                                                                                                                                                                                                                                                                                                                                                                                                                                                                                                                                                              </w:t>
      </w:r>
    </w:p>
    <w:p w:rsidR="00D61908" w:rsidRPr="00D61908" w:rsidRDefault="00D61908" w:rsidP="00D61908">
      <w:pPr>
        <w:autoSpaceDE w:val="0"/>
        <w:autoSpaceDN w:val="0"/>
        <w:adjustRightInd w:val="0"/>
        <w:jc w:val="center"/>
        <w:rPr>
          <w:b/>
          <w:bCs/>
          <w:sz w:val="32"/>
          <w:szCs w:val="32"/>
          <w:lang w:val="ru-RU"/>
        </w:rPr>
      </w:pPr>
      <w:r w:rsidRPr="00D61908">
        <w:rPr>
          <w:b/>
          <w:bCs/>
          <w:sz w:val="32"/>
          <w:szCs w:val="32"/>
          <w:lang w:val="ru-RU"/>
        </w:rPr>
        <w:t xml:space="preserve"> </w:t>
      </w:r>
    </w:p>
    <w:p w:rsidR="00D61908" w:rsidRDefault="001844A9" w:rsidP="00A82FE4">
      <w:pPr>
        <w:autoSpaceDE w:val="0"/>
        <w:autoSpaceDN w:val="0"/>
        <w:adjustRightInd w:val="0"/>
        <w:rPr>
          <w:rFonts w:ascii="Times New Roman CYR" w:hAnsi="Times New Roman CYR" w:cs="Times New Roman CYR"/>
          <w:sz w:val="28"/>
          <w:szCs w:val="28"/>
        </w:rPr>
      </w:pPr>
      <w:r>
        <w:rPr>
          <w:sz w:val="28"/>
          <w:szCs w:val="28"/>
          <w:lang w:val="en-US"/>
        </w:rPr>
        <w:t xml:space="preserve">       28.12.</w:t>
      </w:r>
      <w:r w:rsidR="00A82FE4">
        <w:rPr>
          <w:sz w:val="28"/>
          <w:szCs w:val="28"/>
          <w:lang w:val="ru-RU"/>
        </w:rPr>
        <w:t xml:space="preserve">2019 № </w:t>
      </w:r>
      <w:r w:rsidR="00A82FE4">
        <w:rPr>
          <w:sz w:val="28"/>
          <w:szCs w:val="28"/>
          <w:lang w:val="en-US"/>
        </w:rPr>
        <w:t>2039</w:t>
      </w:r>
      <w:r w:rsidR="00D61908" w:rsidRPr="00D61908">
        <w:rPr>
          <w:sz w:val="28"/>
          <w:szCs w:val="28"/>
          <w:lang w:val="ru-RU"/>
        </w:rPr>
        <w:t xml:space="preserve">                                                                </w:t>
      </w:r>
      <w:r w:rsidR="00D61908">
        <w:rPr>
          <w:rFonts w:ascii="Times New Roman CYR" w:hAnsi="Times New Roman CYR" w:cs="Times New Roman CYR"/>
          <w:sz w:val="28"/>
          <w:szCs w:val="28"/>
        </w:rPr>
        <w:t>м.Чернівці</w:t>
      </w:r>
    </w:p>
    <w:p w:rsidR="00D61908" w:rsidRPr="00D61908" w:rsidRDefault="00D61908" w:rsidP="00D61908">
      <w:pPr>
        <w:autoSpaceDE w:val="0"/>
        <w:autoSpaceDN w:val="0"/>
        <w:adjustRightInd w:val="0"/>
        <w:ind w:firstLine="720"/>
        <w:jc w:val="both"/>
        <w:rPr>
          <w:lang w:val="ru-RU"/>
        </w:rPr>
      </w:pPr>
      <w:r w:rsidRPr="00D61908">
        <w:rPr>
          <w:lang w:val="ru-RU"/>
        </w:rPr>
        <w:t xml:space="preserve"> </w:t>
      </w:r>
    </w:p>
    <w:p w:rsidR="00D61908" w:rsidRDefault="00D61908" w:rsidP="00D61908">
      <w:pPr>
        <w:autoSpaceDE w:val="0"/>
        <w:autoSpaceDN w:val="0"/>
        <w:adjustRightInd w:val="0"/>
        <w:spacing w:line="20" w:lineRule="atLeast"/>
        <w:jc w:val="center"/>
        <w:rPr>
          <w:rFonts w:ascii="Times New Roman CYR" w:hAnsi="Times New Roman CYR" w:cs="Times New Roman CYR"/>
          <w:b/>
          <w:bCs/>
          <w:sz w:val="28"/>
          <w:szCs w:val="28"/>
        </w:rPr>
      </w:pPr>
      <w:r>
        <w:rPr>
          <w:rFonts w:ascii="Times New Roman CYR" w:hAnsi="Times New Roman CYR" w:cs="Times New Roman CYR"/>
          <w:b/>
          <w:bCs/>
          <w:sz w:val="28"/>
          <w:szCs w:val="28"/>
        </w:rPr>
        <w:t>Про  хід   виконання  Програми покращання</w:t>
      </w:r>
      <w:r>
        <w:rPr>
          <w:rFonts w:ascii="Times New Roman CYR" w:hAnsi="Times New Roman CYR" w:cs="Times New Roman CYR"/>
          <w:spacing w:val="-9"/>
          <w:sz w:val="28"/>
          <w:szCs w:val="28"/>
        </w:rPr>
        <w:t xml:space="preserve"> </w:t>
      </w:r>
      <w:r>
        <w:rPr>
          <w:rFonts w:ascii="Times New Roman CYR" w:hAnsi="Times New Roman CYR" w:cs="Times New Roman CYR"/>
          <w:b/>
          <w:bCs/>
          <w:sz w:val="28"/>
          <w:szCs w:val="28"/>
        </w:rPr>
        <w:t xml:space="preserve">умов </w:t>
      </w:r>
      <w:r>
        <w:rPr>
          <w:rFonts w:ascii="Times New Roman CYR" w:hAnsi="Times New Roman CYR" w:cs="Times New Roman CYR"/>
          <w:b/>
          <w:bCs/>
          <w:spacing w:val="-9"/>
          <w:sz w:val="28"/>
          <w:szCs w:val="28"/>
        </w:rPr>
        <w:t>казначейського</w:t>
      </w:r>
      <w:r>
        <w:rPr>
          <w:rFonts w:ascii="Times New Roman CYR" w:hAnsi="Times New Roman CYR" w:cs="Times New Roman CYR"/>
          <w:b/>
          <w:bCs/>
          <w:sz w:val="28"/>
          <w:szCs w:val="28"/>
        </w:rPr>
        <w:t xml:space="preserve"> обслуговування міського бюджету м. Чернівців, розпорядників та одержувачів бюджетних коштів на 2018-2019 роки,  затвердженої  рішенням міської   ради   VII скликання </w:t>
      </w:r>
    </w:p>
    <w:p w:rsidR="00D61908" w:rsidRDefault="00D61908" w:rsidP="00D61908">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від 29.10.2018р. №</w:t>
      </w:r>
      <w:r>
        <w:rPr>
          <w:rFonts w:ascii="Times New Roman CYR" w:hAnsi="Times New Roman CYR" w:cs="Times New Roman CYR"/>
          <w:b/>
          <w:bCs/>
          <w:sz w:val="27"/>
          <w:szCs w:val="27"/>
        </w:rPr>
        <w:t>1474</w:t>
      </w:r>
    </w:p>
    <w:p w:rsidR="00D61908" w:rsidRPr="00D61908" w:rsidRDefault="00D61908" w:rsidP="00D61908">
      <w:pPr>
        <w:autoSpaceDE w:val="0"/>
        <w:autoSpaceDN w:val="0"/>
        <w:adjustRightInd w:val="0"/>
        <w:ind w:firstLine="720"/>
        <w:jc w:val="center"/>
      </w:pPr>
    </w:p>
    <w:p w:rsidR="00D61908" w:rsidRDefault="00D61908" w:rsidP="00D61908">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Відповідно до статті 26 Закону України </w:t>
      </w:r>
      <w:r w:rsidRPr="00D61908">
        <w:rPr>
          <w:sz w:val="28"/>
          <w:szCs w:val="28"/>
        </w:rPr>
        <w:t>«</w:t>
      </w:r>
      <w:r>
        <w:rPr>
          <w:rFonts w:ascii="Times New Roman CYR" w:hAnsi="Times New Roman CYR" w:cs="Times New Roman CYR"/>
          <w:sz w:val="28"/>
          <w:szCs w:val="28"/>
        </w:rPr>
        <w:t xml:space="preserve">Про місцеве самоврядування в Україні, Податкового кодексу України, </w:t>
      </w:r>
      <w:r>
        <w:rPr>
          <w:rFonts w:ascii="Times New Roman CYR" w:hAnsi="Times New Roman CYR" w:cs="Times New Roman CYR"/>
          <w:spacing w:val="-9"/>
          <w:sz w:val="28"/>
          <w:szCs w:val="28"/>
        </w:rPr>
        <w:t xml:space="preserve">Закону України </w:t>
      </w:r>
      <w:r w:rsidRPr="00D61908">
        <w:rPr>
          <w:spacing w:val="-9"/>
          <w:sz w:val="28"/>
          <w:szCs w:val="28"/>
        </w:rPr>
        <w:t>«</w:t>
      </w:r>
      <w:r>
        <w:rPr>
          <w:rFonts w:ascii="Times New Roman CYR" w:hAnsi="Times New Roman CYR" w:cs="Times New Roman CYR"/>
          <w:spacing w:val="-9"/>
          <w:sz w:val="28"/>
          <w:szCs w:val="28"/>
        </w:rPr>
        <w:t xml:space="preserve">Про відкритість використання </w:t>
      </w:r>
      <w:r>
        <w:rPr>
          <w:rFonts w:ascii="Times New Roman CYR" w:hAnsi="Times New Roman CYR" w:cs="Times New Roman CYR"/>
          <w:spacing w:val="-2"/>
          <w:sz w:val="28"/>
          <w:szCs w:val="28"/>
        </w:rPr>
        <w:t>публічних коштів</w:t>
      </w:r>
      <w:r w:rsidRPr="00D61908">
        <w:rPr>
          <w:spacing w:val="-2"/>
          <w:sz w:val="28"/>
          <w:szCs w:val="28"/>
        </w:rPr>
        <w:t xml:space="preserve">», </w:t>
      </w:r>
      <w:r>
        <w:rPr>
          <w:rFonts w:ascii="Times New Roman CYR" w:hAnsi="Times New Roman CYR" w:cs="Times New Roman CYR"/>
          <w:spacing w:val="-2"/>
          <w:sz w:val="28"/>
          <w:szCs w:val="28"/>
        </w:rPr>
        <w:t xml:space="preserve">Закону України </w:t>
      </w:r>
      <w:r w:rsidRPr="00D61908">
        <w:rPr>
          <w:spacing w:val="-2"/>
          <w:sz w:val="28"/>
          <w:szCs w:val="28"/>
        </w:rPr>
        <w:t>«</w:t>
      </w:r>
      <w:r>
        <w:rPr>
          <w:rFonts w:ascii="Times New Roman CYR" w:hAnsi="Times New Roman CYR" w:cs="Times New Roman CYR"/>
          <w:spacing w:val="-2"/>
          <w:sz w:val="28"/>
          <w:szCs w:val="28"/>
        </w:rPr>
        <w:t>Про основні засади здійснення державного фінансового контролю в Україні</w:t>
      </w:r>
      <w:r w:rsidRPr="00D61908">
        <w:rPr>
          <w:spacing w:val="-2"/>
          <w:sz w:val="28"/>
          <w:szCs w:val="28"/>
        </w:rPr>
        <w:t xml:space="preserve">», </w:t>
      </w:r>
      <w:r>
        <w:rPr>
          <w:rFonts w:ascii="Times New Roman CYR" w:hAnsi="Times New Roman CYR" w:cs="Times New Roman CYR"/>
          <w:spacing w:val="-2"/>
          <w:sz w:val="28"/>
          <w:szCs w:val="28"/>
        </w:rPr>
        <w:t xml:space="preserve">Концепції розвитку </w:t>
      </w:r>
      <w:r>
        <w:rPr>
          <w:rFonts w:ascii="Times New Roman CYR" w:hAnsi="Times New Roman CYR" w:cs="Times New Roman CYR"/>
          <w:spacing w:val="-10"/>
          <w:sz w:val="28"/>
          <w:szCs w:val="28"/>
        </w:rPr>
        <w:t>інформаційних технологій Державної казначейської служби України на 2015-2018 роки</w:t>
      </w:r>
      <w:r w:rsidRPr="00D61908">
        <w:rPr>
          <w:spacing w:val="-10"/>
          <w:sz w:val="28"/>
          <w:szCs w:val="28"/>
        </w:rPr>
        <w:t xml:space="preserve">», </w:t>
      </w:r>
      <w:r>
        <w:rPr>
          <w:rFonts w:ascii="Times New Roman CYR" w:hAnsi="Times New Roman CYR" w:cs="Times New Roman CYR"/>
          <w:spacing w:val="-10"/>
          <w:sz w:val="28"/>
          <w:szCs w:val="28"/>
        </w:rPr>
        <w:t xml:space="preserve">Положення про Державну казначейську службу України, </w:t>
      </w:r>
      <w:r>
        <w:rPr>
          <w:rFonts w:ascii="Times New Roman CYR" w:hAnsi="Times New Roman CYR" w:cs="Times New Roman CYR"/>
          <w:spacing w:val="-9"/>
          <w:sz w:val="28"/>
          <w:szCs w:val="28"/>
        </w:rPr>
        <w:t>Положення про управління Державної казначейської служби України у м.Чернівцях Чернівецької області</w:t>
      </w:r>
      <w:r>
        <w:rPr>
          <w:rFonts w:ascii="Times New Roman CYR" w:hAnsi="Times New Roman CYR" w:cs="Times New Roman CYR"/>
          <w:spacing w:val="-12"/>
          <w:sz w:val="28"/>
          <w:szCs w:val="28"/>
        </w:rPr>
        <w:t xml:space="preserve">,  </w:t>
      </w:r>
      <w:r>
        <w:rPr>
          <w:rFonts w:ascii="Times New Roman CYR" w:hAnsi="Times New Roman CYR" w:cs="Times New Roman CYR"/>
          <w:sz w:val="28"/>
          <w:szCs w:val="28"/>
        </w:rPr>
        <w:t>рішення  міської ради VІІ скликання від 29.10.2018р. №1474,   Чернівецька міська рада</w:t>
      </w:r>
    </w:p>
    <w:p w:rsidR="00D61908" w:rsidRPr="00D61908" w:rsidRDefault="00D61908" w:rsidP="00D61908">
      <w:pPr>
        <w:autoSpaceDE w:val="0"/>
        <w:autoSpaceDN w:val="0"/>
        <w:adjustRightInd w:val="0"/>
        <w:jc w:val="both"/>
        <w:rPr>
          <w:b/>
          <w:bCs/>
          <w:sz w:val="28"/>
          <w:szCs w:val="28"/>
        </w:rPr>
      </w:pPr>
      <w:r w:rsidRPr="00D61908">
        <w:rPr>
          <w:b/>
          <w:bCs/>
          <w:sz w:val="28"/>
          <w:szCs w:val="28"/>
        </w:rPr>
        <w:t xml:space="preserve">                       </w:t>
      </w:r>
    </w:p>
    <w:p w:rsidR="003850A0" w:rsidRPr="00165E02" w:rsidRDefault="00D61908" w:rsidP="00165E02">
      <w:pPr>
        <w:autoSpaceDE w:val="0"/>
        <w:autoSpaceDN w:val="0"/>
        <w:adjustRightInd w:val="0"/>
        <w:jc w:val="center"/>
        <w:rPr>
          <w:rFonts w:ascii="Times New Roman CYR" w:hAnsi="Times New Roman CYR" w:cs="Times New Roman CYR"/>
          <w:b/>
          <w:bCs/>
          <w:sz w:val="28"/>
          <w:szCs w:val="28"/>
          <w:lang w:val="en-US"/>
        </w:rPr>
      </w:pPr>
      <w:r>
        <w:rPr>
          <w:rFonts w:ascii="Times New Roman CYR" w:hAnsi="Times New Roman CYR" w:cs="Times New Roman CYR"/>
          <w:b/>
          <w:bCs/>
          <w:sz w:val="28"/>
          <w:szCs w:val="28"/>
        </w:rPr>
        <w:t>В И Р І Ш И Л А :</w:t>
      </w:r>
    </w:p>
    <w:p w:rsidR="003850A0" w:rsidRDefault="008C559D" w:rsidP="005E50AD">
      <w:pPr>
        <w:tabs>
          <w:tab w:val="left" w:pos="1080"/>
          <w:tab w:val="left" w:pos="1215"/>
        </w:tabs>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       </w:t>
      </w:r>
      <w:r w:rsidR="00892AE3">
        <w:rPr>
          <w:rFonts w:ascii="Times New Roman CYR" w:hAnsi="Times New Roman CYR" w:cs="Times New Roman CYR"/>
          <w:b/>
          <w:bCs/>
          <w:sz w:val="28"/>
          <w:szCs w:val="28"/>
        </w:rPr>
        <w:t xml:space="preserve"> </w:t>
      </w:r>
      <w:r w:rsidR="003850A0" w:rsidRPr="003850A0">
        <w:rPr>
          <w:rFonts w:ascii="Times New Roman CYR" w:hAnsi="Times New Roman CYR" w:cs="Times New Roman CYR"/>
          <w:b/>
          <w:bCs/>
          <w:sz w:val="28"/>
          <w:szCs w:val="28"/>
        </w:rPr>
        <w:t>1.</w:t>
      </w:r>
      <w:r w:rsidR="003850A0">
        <w:rPr>
          <w:rFonts w:ascii="Times New Roman CYR" w:hAnsi="Times New Roman CYR" w:cs="Times New Roman CYR"/>
          <w:sz w:val="28"/>
          <w:szCs w:val="28"/>
        </w:rPr>
        <w:t xml:space="preserve"> </w:t>
      </w:r>
      <w:r w:rsidR="00D61908">
        <w:rPr>
          <w:rFonts w:ascii="Times New Roman CYR" w:hAnsi="Times New Roman CYR" w:cs="Times New Roman CYR"/>
          <w:sz w:val="28"/>
          <w:szCs w:val="28"/>
        </w:rPr>
        <w:t xml:space="preserve">Інформацію </w:t>
      </w:r>
      <w:r w:rsidR="00D61908">
        <w:rPr>
          <w:rFonts w:ascii="Times New Roman CYR" w:hAnsi="Times New Roman CYR" w:cs="Times New Roman CYR"/>
          <w:spacing w:val="-10"/>
          <w:sz w:val="28"/>
          <w:szCs w:val="28"/>
        </w:rPr>
        <w:t xml:space="preserve">управління Державної казначейської служби України у м.Чернівцях  Чернівецької </w:t>
      </w:r>
      <w:r w:rsidR="00D61908">
        <w:rPr>
          <w:rFonts w:ascii="Times New Roman CYR" w:hAnsi="Times New Roman CYR" w:cs="Times New Roman CYR"/>
          <w:spacing w:val="-7"/>
          <w:sz w:val="28"/>
          <w:szCs w:val="28"/>
        </w:rPr>
        <w:t xml:space="preserve">області </w:t>
      </w:r>
      <w:r w:rsidR="00D61908">
        <w:rPr>
          <w:rFonts w:ascii="Times New Roman CYR" w:hAnsi="Times New Roman CYR" w:cs="Times New Roman CYR"/>
          <w:sz w:val="28"/>
          <w:szCs w:val="28"/>
        </w:rPr>
        <w:t xml:space="preserve">про хід виконання рішення міської ради від 29.10.2018р. №1474 </w:t>
      </w:r>
      <w:r w:rsidR="00D61908" w:rsidRPr="003850A0">
        <w:rPr>
          <w:spacing w:val="-2"/>
          <w:sz w:val="28"/>
          <w:szCs w:val="28"/>
        </w:rPr>
        <w:t>«</w:t>
      </w:r>
      <w:r w:rsidR="00D61908">
        <w:rPr>
          <w:rFonts w:ascii="Times New Roman CYR" w:hAnsi="Times New Roman CYR" w:cs="Times New Roman CYR"/>
          <w:spacing w:val="-9"/>
          <w:sz w:val="28"/>
          <w:szCs w:val="28"/>
        </w:rPr>
        <w:t>Про затвердження Програми покращання умов казначейського обслуговування міського бюджету м.Чернівців, розпорядників та одержувачів бюджетних коштів  на 2018 -2019 роки</w:t>
      </w:r>
      <w:r w:rsidR="00D61908" w:rsidRPr="003850A0">
        <w:rPr>
          <w:spacing w:val="-9"/>
          <w:sz w:val="28"/>
          <w:szCs w:val="28"/>
        </w:rPr>
        <w:t xml:space="preserve">» </w:t>
      </w:r>
      <w:r w:rsidR="00D61908" w:rsidRPr="003850A0">
        <w:rPr>
          <w:sz w:val="28"/>
          <w:szCs w:val="28"/>
        </w:rPr>
        <w:t xml:space="preserve"> </w:t>
      </w:r>
      <w:r w:rsidR="003850A0">
        <w:rPr>
          <w:rFonts w:ascii="Times New Roman CYR" w:hAnsi="Times New Roman CYR" w:cs="Times New Roman CYR"/>
          <w:sz w:val="28"/>
          <w:szCs w:val="28"/>
        </w:rPr>
        <w:t xml:space="preserve">взяти </w:t>
      </w:r>
      <w:r w:rsidR="00D61908">
        <w:rPr>
          <w:rFonts w:ascii="Times New Roman CYR" w:hAnsi="Times New Roman CYR" w:cs="Times New Roman CYR"/>
          <w:sz w:val="28"/>
          <w:szCs w:val="28"/>
        </w:rPr>
        <w:t>до відома (додається).</w:t>
      </w:r>
    </w:p>
    <w:p w:rsidR="003850A0" w:rsidRDefault="003850A0" w:rsidP="005E50AD">
      <w:pPr>
        <w:tabs>
          <w:tab w:val="left" w:pos="900"/>
        </w:tabs>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8C559D">
        <w:rPr>
          <w:rFonts w:ascii="Times New Roman CYR" w:hAnsi="Times New Roman CYR" w:cs="Times New Roman CYR"/>
          <w:b/>
          <w:bCs/>
          <w:sz w:val="28"/>
          <w:szCs w:val="28"/>
        </w:rPr>
        <w:t xml:space="preserve"> </w:t>
      </w:r>
      <w:r w:rsidR="00892AE3">
        <w:rPr>
          <w:rFonts w:ascii="Times New Roman CYR" w:hAnsi="Times New Roman CYR" w:cs="Times New Roman CYR"/>
          <w:b/>
          <w:bCs/>
          <w:sz w:val="28"/>
          <w:szCs w:val="28"/>
        </w:rPr>
        <w:t xml:space="preserve"> </w:t>
      </w:r>
      <w:r w:rsidR="008C559D">
        <w:rPr>
          <w:rFonts w:ascii="Times New Roman CYR" w:hAnsi="Times New Roman CYR" w:cs="Times New Roman CYR"/>
          <w:b/>
          <w:bCs/>
          <w:sz w:val="28"/>
          <w:szCs w:val="28"/>
        </w:rPr>
        <w:t xml:space="preserve"> </w:t>
      </w:r>
      <w:r w:rsidRPr="003850A0">
        <w:rPr>
          <w:rFonts w:ascii="Times New Roman CYR" w:hAnsi="Times New Roman CYR" w:cs="Times New Roman CYR"/>
          <w:b/>
          <w:bCs/>
          <w:sz w:val="28"/>
          <w:szCs w:val="28"/>
        </w:rPr>
        <w:t>2.</w:t>
      </w:r>
      <w:r w:rsidR="005E50AD" w:rsidRPr="005E50AD">
        <w:rPr>
          <w:rFonts w:ascii="Times New Roman CYR" w:hAnsi="Times New Roman CYR" w:cs="Times New Roman CYR"/>
          <w:b/>
          <w:bCs/>
          <w:sz w:val="28"/>
          <w:szCs w:val="28"/>
        </w:rPr>
        <w:t xml:space="preserve"> </w:t>
      </w:r>
      <w:r w:rsidR="00D61908">
        <w:rPr>
          <w:rFonts w:ascii="Times New Roman CYR" w:hAnsi="Times New Roman CYR" w:cs="Times New Roman CYR"/>
          <w:sz w:val="28"/>
          <w:szCs w:val="28"/>
        </w:rPr>
        <w:t>Рішення підлягає оприлюдненню на офіційному вебпорталі  Чернівецької міської ради.</w:t>
      </w:r>
    </w:p>
    <w:p w:rsidR="00D61908" w:rsidRDefault="003850A0" w:rsidP="005E50AD">
      <w:pPr>
        <w:tabs>
          <w:tab w:val="left" w:pos="1080"/>
          <w:tab w:val="left" w:pos="1215"/>
        </w:tabs>
        <w:autoSpaceDE w:val="0"/>
        <w:autoSpaceDN w:val="0"/>
        <w:adjustRightInd w:val="0"/>
        <w:spacing w:after="1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sz w:val="28"/>
          <w:szCs w:val="28"/>
        </w:rPr>
        <w:t xml:space="preserve">3. </w:t>
      </w:r>
      <w:r w:rsidR="00D61908">
        <w:rPr>
          <w:rFonts w:ascii="Times New Roman CYR" w:hAnsi="Times New Roman CYR" w:cs="Times New Roman CYR"/>
          <w:sz w:val="28"/>
          <w:szCs w:val="28"/>
        </w:rPr>
        <w:t xml:space="preserve">Організацію виконання рішення покласти на начальника управління </w:t>
      </w:r>
      <w:r>
        <w:rPr>
          <w:rFonts w:ascii="Times New Roman CYR" w:hAnsi="Times New Roman CYR" w:cs="Times New Roman CYR"/>
          <w:spacing w:val="-10"/>
          <w:sz w:val="28"/>
          <w:szCs w:val="28"/>
        </w:rPr>
        <w:t xml:space="preserve">Державної казначейської служби України у м.Чернівцях  Чернівецької </w:t>
      </w:r>
      <w:r>
        <w:rPr>
          <w:rFonts w:ascii="Times New Roman CYR" w:hAnsi="Times New Roman CYR" w:cs="Times New Roman CYR"/>
          <w:spacing w:val="-7"/>
          <w:sz w:val="28"/>
          <w:szCs w:val="28"/>
        </w:rPr>
        <w:t>області.</w:t>
      </w:r>
    </w:p>
    <w:p w:rsidR="00D61908" w:rsidRDefault="008C559D" w:rsidP="005E50AD">
      <w:pPr>
        <w:numPr>
          <w:ilvl w:val="0"/>
          <w:numId w:val="4"/>
        </w:numPr>
        <w:tabs>
          <w:tab w:val="clear" w:pos="930"/>
          <w:tab w:val="left" w:pos="900"/>
          <w:tab w:val="left" w:pos="1215"/>
        </w:tabs>
        <w:autoSpaceDE w:val="0"/>
        <w:autoSpaceDN w:val="0"/>
        <w:adjustRightInd w:val="0"/>
        <w:spacing w:after="120"/>
        <w:ind w:left="18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D61908">
        <w:rPr>
          <w:rFonts w:ascii="Times New Roman CYR" w:hAnsi="Times New Roman CYR" w:cs="Times New Roman CYR"/>
          <w:sz w:val="28"/>
          <w:szCs w:val="28"/>
        </w:rPr>
        <w:t>Контроль за виконанням  рішення покла</w:t>
      </w:r>
      <w:r w:rsidR="005E50AD">
        <w:rPr>
          <w:rFonts w:ascii="Times New Roman CYR" w:hAnsi="Times New Roman CYR" w:cs="Times New Roman CYR"/>
          <w:sz w:val="28"/>
          <w:szCs w:val="28"/>
        </w:rPr>
        <w:t>сти на постійну комісію міської</w:t>
      </w:r>
      <w:r w:rsidR="005E50AD" w:rsidRPr="005E50AD">
        <w:rPr>
          <w:rFonts w:ascii="Times New Roman CYR" w:hAnsi="Times New Roman CYR" w:cs="Times New Roman CYR"/>
          <w:sz w:val="28"/>
          <w:szCs w:val="28"/>
          <w:lang w:val="ru-RU"/>
        </w:rPr>
        <w:t xml:space="preserve"> </w:t>
      </w:r>
      <w:r w:rsidR="00D61908">
        <w:rPr>
          <w:rFonts w:ascii="Times New Roman CYR" w:hAnsi="Times New Roman CYR" w:cs="Times New Roman CYR"/>
          <w:sz w:val="28"/>
          <w:szCs w:val="28"/>
        </w:rPr>
        <w:t xml:space="preserve">ради з питань бюджету та фінансів. </w:t>
      </w:r>
    </w:p>
    <w:p w:rsidR="00D61908" w:rsidRPr="00D61908" w:rsidRDefault="00D61908" w:rsidP="00D61908">
      <w:pPr>
        <w:autoSpaceDE w:val="0"/>
        <w:autoSpaceDN w:val="0"/>
        <w:adjustRightInd w:val="0"/>
        <w:jc w:val="both"/>
        <w:rPr>
          <w:sz w:val="28"/>
          <w:szCs w:val="28"/>
          <w:lang w:val="ru-RU"/>
        </w:rPr>
      </w:pPr>
    </w:p>
    <w:p w:rsidR="00D61908" w:rsidRDefault="00D61908" w:rsidP="007D5092">
      <w:pPr>
        <w:autoSpaceDE w:val="0"/>
        <w:autoSpaceDN w:val="0"/>
        <w:adjustRightInd w:val="0"/>
        <w:rPr>
          <w:rFonts w:ascii="Times New Roman CYR" w:hAnsi="Times New Roman CYR" w:cs="Times New Roman CYR"/>
          <w:b/>
          <w:bCs/>
          <w:sz w:val="28"/>
          <w:szCs w:val="28"/>
          <w:highlight w:val="white"/>
          <w:lang w:val="en-US"/>
        </w:rPr>
      </w:pPr>
      <w:r>
        <w:rPr>
          <w:rFonts w:ascii="Times New Roman CYR" w:hAnsi="Times New Roman CYR" w:cs="Times New Roman CYR"/>
          <w:b/>
          <w:bCs/>
          <w:sz w:val="28"/>
          <w:szCs w:val="28"/>
          <w:highlight w:val="white"/>
        </w:rPr>
        <w:t>Чернівецький міський голова                                                  О. Каспрук</w:t>
      </w:r>
    </w:p>
    <w:p w:rsidR="00D8643F" w:rsidRDefault="00D8643F" w:rsidP="00D8643F">
      <w:pPr>
        <w:autoSpaceDE w:val="0"/>
        <w:autoSpaceDN w:val="0"/>
        <w:adjustRightInd w:val="0"/>
        <w:spacing w:line="20" w:lineRule="atLeast"/>
        <w:jc w:val="center"/>
        <w:rPr>
          <w:rFonts w:ascii="Times New Roman CYR" w:hAnsi="Times New Roman CYR" w:cs="Times New Roman CYR"/>
          <w:b/>
          <w:bCs/>
          <w:sz w:val="27"/>
          <w:szCs w:val="27"/>
        </w:rPr>
      </w:pPr>
      <w:r>
        <w:rPr>
          <w:rFonts w:ascii="Times New Roman CYR" w:hAnsi="Times New Roman CYR" w:cs="Times New Roman CYR"/>
          <w:b/>
          <w:bCs/>
          <w:sz w:val="27"/>
          <w:szCs w:val="27"/>
        </w:rPr>
        <w:lastRenderedPageBreak/>
        <w:t xml:space="preserve">Інформація </w:t>
      </w:r>
    </w:p>
    <w:p w:rsidR="00D8643F" w:rsidRPr="00D8643F" w:rsidRDefault="00D8643F" w:rsidP="00D8643F">
      <w:pPr>
        <w:autoSpaceDE w:val="0"/>
        <w:autoSpaceDN w:val="0"/>
        <w:adjustRightInd w:val="0"/>
        <w:spacing w:line="20" w:lineRule="atLeast"/>
        <w:jc w:val="center"/>
        <w:rPr>
          <w:b/>
          <w:bCs/>
          <w:sz w:val="27"/>
          <w:szCs w:val="27"/>
          <w:lang w:val="ru-RU"/>
        </w:rPr>
      </w:pPr>
    </w:p>
    <w:p w:rsidR="00D8643F" w:rsidRDefault="00D8643F" w:rsidP="00D8643F">
      <w:pPr>
        <w:autoSpaceDE w:val="0"/>
        <w:autoSpaceDN w:val="0"/>
        <w:adjustRightInd w:val="0"/>
        <w:spacing w:line="20" w:lineRule="atLeast"/>
        <w:jc w:val="center"/>
        <w:rPr>
          <w:rFonts w:ascii="Times New Roman CYR" w:hAnsi="Times New Roman CYR" w:cs="Times New Roman CYR"/>
          <w:b/>
          <w:bCs/>
          <w:sz w:val="27"/>
          <w:szCs w:val="27"/>
        </w:rPr>
      </w:pPr>
      <w:r>
        <w:rPr>
          <w:rFonts w:ascii="Times New Roman CYR" w:hAnsi="Times New Roman CYR" w:cs="Times New Roman CYR"/>
          <w:b/>
          <w:bCs/>
          <w:sz w:val="27"/>
          <w:szCs w:val="27"/>
        </w:rPr>
        <w:t>про хід виконання Програми покращання</w:t>
      </w:r>
      <w:r>
        <w:rPr>
          <w:rFonts w:ascii="Times New Roman CYR" w:hAnsi="Times New Roman CYR" w:cs="Times New Roman CYR"/>
          <w:spacing w:val="-9"/>
          <w:sz w:val="28"/>
          <w:szCs w:val="28"/>
        </w:rPr>
        <w:t xml:space="preserve"> </w:t>
      </w:r>
      <w:r>
        <w:rPr>
          <w:rFonts w:ascii="Times New Roman CYR" w:hAnsi="Times New Roman CYR" w:cs="Times New Roman CYR"/>
          <w:b/>
          <w:bCs/>
          <w:sz w:val="27"/>
          <w:szCs w:val="27"/>
        </w:rPr>
        <w:t xml:space="preserve">умов </w:t>
      </w:r>
      <w:r>
        <w:rPr>
          <w:rFonts w:ascii="Times New Roman CYR" w:hAnsi="Times New Roman CYR" w:cs="Times New Roman CYR"/>
          <w:b/>
          <w:bCs/>
          <w:spacing w:val="-9"/>
          <w:sz w:val="27"/>
          <w:szCs w:val="27"/>
        </w:rPr>
        <w:t>казначейського</w:t>
      </w:r>
      <w:r>
        <w:rPr>
          <w:rFonts w:ascii="Times New Roman CYR" w:hAnsi="Times New Roman CYR" w:cs="Times New Roman CYR"/>
          <w:b/>
          <w:bCs/>
          <w:sz w:val="27"/>
          <w:szCs w:val="27"/>
        </w:rPr>
        <w:t xml:space="preserve"> обслуговування міського бюджету м. Чернівців, розпорядників та одержувачів бюджетних коштів на 2018-2019 роки</w:t>
      </w:r>
    </w:p>
    <w:p w:rsidR="00D8643F" w:rsidRPr="00D8643F" w:rsidRDefault="00D8643F" w:rsidP="00D8643F">
      <w:pPr>
        <w:autoSpaceDE w:val="0"/>
        <w:autoSpaceDN w:val="0"/>
        <w:adjustRightInd w:val="0"/>
        <w:spacing w:line="20" w:lineRule="atLeast"/>
        <w:ind w:firstLine="709"/>
        <w:jc w:val="both"/>
        <w:rPr>
          <w:spacing w:val="-9"/>
          <w:sz w:val="27"/>
          <w:szCs w:val="27"/>
          <w:lang w:val="ru-RU"/>
        </w:rPr>
      </w:pPr>
    </w:p>
    <w:p w:rsidR="00D8643F" w:rsidRDefault="00D8643F" w:rsidP="00D8643F">
      <w:pPr>
        <w:autoSpaceDE w:val="0"/>
        <w:autoSpaceDN w:val="0"/>
        <w:adjustRightInd w:val="0"/>
        <w:spacing w:line="20" w:lineRule="atLeast"/>
        <w:ind w:firstLine="709"/>
        <w:jc w:val="both"/>
        <w:rPr>
          <w:rFonts w:ascii="Times New Roman CYR" w:hAnsi="Times New Roman CYR" w:cs="Times New Roman CYR"/>
          <w:sz w:val="27"/>
          <w:szCs w:val="27"/>
        </w:rPr>
      </w:pPr>
      <w:r>
        <w:rPr>
          <w:rFonts w:ascii="Times New Roman CYR" w:hAnsi="Times New Roman CYR" w:cs="Times New Roman CYR"/>
          <w:spacing w:val="-9"/>
          <w:sz w:val="27"/>
          <w:szCs w:val="27"/>
        </w:rPr>
        <w:t xml:space="preserve">Програма покращання умов казначейського обслуговування міського бюджету м.Чернівців, розпорядників та одержувачів бюджетних коштів  на 2018 -2019 роки </w:t>
      </w:r>
      <w:r>
        <w:rPr>
          <w:rFonts w:ascii="Times New Roman CYR" w:hAnsi="Times New Roman CYR" w:cs="Times New Roman CYR"/>
          <w:sz w:val="27"/>
          <w:szCs w:val="27"/>
        </w:rPr>
        <w:t xml:space="preserve"> (далі – Програма), затверджена рішенням Чернівецької міської ради  VII скликання від 29.10.2018р. №1474 </w:t>
      </w:r>
      <w:r>
        <w:rPr>
          <w:rFonts w:ascii="Times New Roman CYR" w:hAnsi="Times New Roman CYR" w:cs="Times New Roman CYR"/>
          <w:spacing w:val="-10"/>
          <w:sz w:val="27"/>
          <w:szCs w:val="27"/>
        </w:rPr>
        <w:t xml:space="preserve">з метою удосконалення існуючої системи казначейського обслуговування </w:t>
      </w:r>
      <w:r>
        <w:rPr>
          <w:rFonts w:ascii="Times New Roman CYR" w:hAnsi="Times New Roman CYR" w:cs="Times New Roman CYR"/>
          <w:spacing w:val="-15"/>
          <w:sz w:val="27"/>
          <w:szCs w:val="27"/>
        </w:rPr>
        <w:t>міського бюджету м.Чернівців та забезпечення ефективної організації роботи</w:t>
      </w:r>
      <w:r>
        <w:rPr>
          <w:rFonts w:ascii="Times New Roman CYR" w:hAnsi="Times New Roman CYR" w:cs="Times New Roman CYR"/>
          <w:sz w:val="27"/>
          <w:szCs w:val="27"/>
        </w:rPr>
        <w:t xml:space="preserve">. Загальний   обсяг   фінансування   Програми   на 2018-2019  роки становить 467,0 тис. грн. </w:t>
      </w:r>
    </w:p>
    <w:p w:rsidR="00D8643F" w:rsidRPr="009431FF" w:rsidRDefault="00D8643F" w:rsidP="00D8643F">
      <w:pPr>
        <w:autoSpaceDE w:val="0"/>
        <w:autoSpaceDN w:val="0"/>
        <w:adjustRightInd w:val="0"/>
        <w:spacing w:line="20" w:lineRule="atLeast"/>
        <w:ind w:firstLine="709"/>
        <w:jc w:val="both"/>
        <w:rPr>
          <w:sz w:val="27"/>
          <w:szCs w:val="27"/>
          <w:lang w:val="ru-RU"/>
        </w:rPr>
      </w:pPr>
    </w:p>
    <w:p w:rsidR="00D8643F" w:rsidRDefault="009431FF" w:rsidP="009431FF">
      <w:pPr>
        <w:autoSpaceDE w:val="0"/>
        <w:autoSpaceDN w:val="0"/>
        <w:adjustRightInd w:val="0"/>
        <w:spacing w:line="20" w:lineRule="atLeast"/>
        <w:ind w:left="1211"/>
        <w:rPr>
          <w:rFonts w:ascii="Times New Roman CYR" w:hAnsi="Times New Roman CYR" w:cs="Times New Roman CYR"/>
          <w:b/>
          <w:bCs/>
          <w:sz w:val="27"/>
          <w:szCs w:val="27"/>
        </w:rPr>
      </w:pPr>
      <w:r w:rsidRPr="009431FF">
        <w:rPr>
          <w:b/>
          <w:bCs/>
          <w:sz w:val="27"/>
          <w:szCs w:val="27"/>
          <w:lang w:val="ru-RU"/>
        </w:rPr>
        <w:t>1.</w:t>
      </w:r>
      <w:r w:rsidR="00D8643F" w:rsidRPr="00D8643F">
        <w:rPr>
          <w:b/>
          <w:bCs/>
          <w:sz w:val="27"/>
          <w:szCs w:val="27"/>
          <w:lang w:val="ru-RU"/>
        </w:rPr>
        <w:t xml:space="preserve"> </w:t>
      </w:r>
      <w:r w:rsidR="00D8643F">
        <w:rPr>
          <w:rFonts w:ascii="Times New Roman CYR" w:hAnsi="Times New Roman CYR" w:cs="Times New Roman CYR"/>
          <w:b/>
          <w:bCs/>
          <w:sz w:val="27"/>
          <w:szCs w:val="27"/>
        </w:rPr>
        <w:t>Фінансування заходів за визначеними Програмою напрямками</w:t>
      </w:r>
    </w:p>
    <w:p w:rsidR="00D8643F" w:rsidRDefault="00D8643F" w:rsidP="00D8643F">
      <w:pPr>
        <w:autoSpaceDE w:val="0"/>
        <w:autoSpaceDN w:val="0"/>
        <w:adjustRightInd w:val="0"/>
        <w:spacing w:line="20" w:lineRule="atLeast"/>
        <w:ind w:firstLine="709"/>
        <w:jc w:val="both"/>
        <w:rPr>
          <w:rFonts w:ascii="Times New Roman CYR" w:hAnsi="Times New Roman CYR" w:cs="Times New Roman CYR"/>
          <w:sz w:val="27"/>
          <w:szCs w:val="27"/>
        </w:rPr>
      </w:pPr>
      <w:r>
        <w:rPr>
          <w:rFonts w:ascii="Times New Roman CYR" w:hAnsi="Times New Roman CYR" w:cs="Times New Roman CYR"/>
          <w:sz w:val="27"/>
          <w:szCs w:val="27"/>
        </w:rPr>
        <w:t xml:space="preserve">У 2018 році на реалізацію заходів Програми передбачений обсяг фінансування з міського бюджету склав 174,0 тис. грн. Фактично кошти не надходили.  </w:t>
      </w:r>
    </w:p>
    <w:p w:rsidR="00D8643F" w:rsidRDefault="00D8643F" w:rsidP="00D8643F">
      <w:pPr>
        <w:autoSpaceDE w:val="0"/>
        <w:autoSpaceDN w:val="0"/>
        <w:adjustRightInd w:val="0"/>
        <w:spacing w:line="20" w:lineRule="atLeast"/>
        <w:ind w:firstLine="709"/>
        <w:jc w:val="both"/>
        <w:rPr>
          <w:rFonts w:ascii="Times New Roman CYR" w:hAnsi="Times New Roman CYR" w:cs="Times New Roman CYR"/>
          <w:sz w:val="27"/>
          <w:szCs w:val="27"/>
        </w:rPr>
      </w:pPr>
      <w:r>
        <w:rPr>
          <w:rFonts w:ascii="Times New Roman CYR" w:hAnsi="Times New Roman CYR" w:cs="Times New Roman CYR"/>
          <w:sz w:val="27"/>
          <w:szCs w:val="27"/>
        </w:rPr>
        <w:t>У 2019 році на реалізацію заходів Програми передбачений обсяг фінансування з міського бюджету склав 293,0 тис. грн. Згідно рішення Чернівецької міської ради від 20.06.2018р. №1730  управління Казначейства  у липні 2019 року отримало по вказаній Програмі  фінансування в сумі 50,0 тис. грн. що складає 17 відсотків від передбачених Програмою на 2019 рік коштів. Зазначені кошти використані у 2019 році для оновлення матеріально-технічної бази управління Казначейства, а саме було придбано:</w:t>
      </w:r>
    </w:p>
    <w:p w:rsidR="00D8643F" w:rsidRPr="00D8643F" w:rsidRDefault="00D8643F" w:rsidP="00D8643F">
      <w:pPr>
        <w:autoSpaceDE w:val="0"/>
        <w:autoSpaceDN w:val="0"/>
        <w:adjustRightInd w:val="0"/>
        <w:spacing w:line="20" w:lineRule="atLeast"/>
        <w:ind w:firstLine="709"/>
        <w:jc w:val="both"/>
        <w:rPr>
          <w:sz w:val="27"/>
          <w:szCs w:val="27"/>
          <w:lang w:val="ru-RU"/>
        </w:rPr>
      </w:pPr>
    </w:p>
    <w:tbl>
      <w:tblPr>
        <w:tblW w:w="0" w:type="auto"/>
        <w:tblInd w:w="2" w:type="dxa"/>
        <w:tblLayout w:type="fixed"/>
        <w:tblLook w:val="0000" w:firstRow="0" w:lastRow="0" w:firstColumn="0" w:lastColumn="0" w:noHBand="0" w:noVBand="0"/>
      </w:tblPr>
      <w:tblGrid>
        <w:gridCol w:w="594"/>
        <w:gridCol w:w="4099"/>
        <w:gridCol w:w="1134"/>
        <w:gridCol w:w="851"/>
        <w:gridCol w:w="1266"/>
        <w:gridCol w:w="1427"/>
      </w:tblGrid>
      <w:tr w:rsidR="00D8643F">
        <w:tblPrEx>
          <w:tblCellMar>
            <w:top w:w="0" w:type="dxa"/>
            <w:bottom w:w="0" w:type="dxa"/>
          </w:tblCellMar>
        </w:tblPrEx>
        <w:trPr>
          <w:trHeight w:val="600"/>
        </w:trPr>
        <w:tc>
          <w:tcPr>
            <w:tcW w:w="594"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 xml:space="preserve">№ </w:t>
            </w:r>
            <w:r>
              <w:rPr>
                <w:rFonts w:ascii="Times New Roman CYR" w:hAnsi="Times New Roman CYR" w:cs="Times New Roman CYR"/>
                <w:sz w:val="27"/>
                <w:szCs w:val="27"/>
              </w:rPr>
              <w:t>п/п</w:t>
            </w:r>
          </w:p>
        </w:tc>
        <w:tc>
          <w:tcPr>
            <w:tcW w:w="4099" w:type="dxa"/>
            <w:tcBorders>
              <w:top w:val="single" w:sz="3" w:space="0" w:color="000000"/>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center"/>
              <w:rPr>
                <w:rFonts w:ascii="Calibri" w:hAnsi="Calibri" w:cs="Calibri"/>
                <w:sz w:val="22"/>
                <w:szCs w:val="22"/>
                <w:lang w:val="en"/>
              </w:rPr>
            </w:pPr>
            <w:r>
              <w:rPr>
                <w:rFonts w:ascii="Times New Roman CYR" w:hAnsi="Times New Roman CYR" w:cs="Times New Roman CYR"/>
                <w:sz w:val="27"/>
                <w:szCs w:val="27"/>
              </w:rPr>
              <w:t>Назва</w:t>
            </w:r>
          </w:p>
        </w:tc>
        <w:tc>
          <w:tcPr>
            <w:tcW w:w="1134" w:type="dxa"/>
            <w:tcBorders>
              <w:top w:val="single" w:sz="3" w:space="0" w:color="000000"/>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center"/>
              <w:rPr>
                <w:rFonts w:ascii="Calibri" w:hAnsi="Calibri" w:cs="Calibri"/>
                <w:sz w:val="22"/>
                <w:szCs w:val="22"/>
                <w:lang w:val="en"/>
              </w:rPr>
            </w:pPr>
            <w:r>
              <w:rPr>
                <w:rFonts w:ascii="Times New Roman CYR" w:hAnsi="Times New Roman CYR" w:cs="Times New Roman CYR"/>
                <w:sz w:val="27"/>
                <w:szCs w:val="27"/>
              </w:rPr>
              <w:t>од. вим.</w:t>
            </w:r>
          </w:p>
        </w:tc>
        <w:tc>
          <w:tcPr>
            <w:tcW w:w="851" w:type="dxa"/>
            <w:tcBorders>
              <w:top w:val="single" w:sz="3" w:space="0" w:color="000000"/>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center"/>
              <w:rPr>
                <w:rFonts w:ascii="Calibri" w:hAnsi="Calibri" w:cs="Calibri"/>
                <w:sz w:val="22"/>
                <w:szCs w:val="22"/>
                <w:lang w:val="en"/>
              </w:rPr>
            </w:pPr>
            <w:r>
              <w:rPr>
                <w:rFonts w:ascii="Times New Roman CYR" w:hAnsi="Times New Roman CYR" w:cs="Times New Roman CYR"/>
                <w:sz w:val="27"/>
                <w:szCs w:val="27"/>
              </w:rPr>
              <w:t>к-сть</w:t>
            </w:r>
          </w:p>
        </w:tc>
        <w:tc>
          <w:tcPr>
            <w:tcW w:w="1266" w:type="dxa"/>
            <w:tcBorders>
              <w:top w:val="single" w:sz="3" w:space="0" w:color="000000"/>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center"/>
              <w:rPr>
                <w:rFonts w:ascii="Calibri" w:hAnsi="Calibri" w:cs="Calibri"/>
                <w:sz w:val="22"/>
                <w:szCs w:val="22"/>
                <w:lang w:val="en"/>
              </w:rPr>
            </w:pPr>
            <w:r>
              <w:rPr>
                <w:rFonts w:ascii="Times New Roman CYR" w:hAnsi="Times New Roman CYR" w:cs="Times New Roman CYR"/>
                <w:sz w:val="27"/>
                <w:szCs w:val="27"/>
              </w:rPr>
              <w:t>Ціна</w:t>
            </w:r>
          </w:p>
        </w:tc>
        <w:tc>
          <w:tcPr>
            <w:tcW w:w="1427" w:type="dxa"/>
            <w:tcBorders>
              <w:top w:val="single" w:sz="3" w:space="0" w:color="000000"/>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center"/>
              <w:rPr>
                <w:rFonts w:ascii="Calibri" w:hAnsi="Calibri" w:cs="Calibri"/>
                <w:sz w:val="22"/>
                <w:szCs w:val="22"/>
                <w:lang w:val="en"/>
              </w:rPr>
            </w:pPr>
            <w:r>
              <w:rPr>
                <w:rFonts w:ascii="Times New Roman CYR" w:hAnsi="Times New Roman CYR" w:cs="Times New Roman CYR"/>
                <w:sz w:val="27"/>
                <w:szCs w:val="27"/>
              </w:rPr>
              <w:t>Сума, грн.</w:t>
            </w:r>
          </w:p>
        </w:tc>
      </w:tr>
      <w:tr w:rsidR="00D8643F">
        <w:tblPrEx>
          <w:tblCellMar>
            <w:top w:w="0" w:type="dxa"/>
            <w:bottom w:w="0" w:type="dxa"/>
          </w:tblCellMar>
        </w:tblPrEx>
        <w:trPr>
          <w:trHeight w:val="1232"/>
        </w:trPr>
        <w:tc>
          <w:tcPr>
            <w:tcW w:w="594" w:type="dxa"/>
            <w:tcBorders>
              <w:top w:val="nil"/>
              <w:left w:val="single" w:sz="3" w:space="0" w:color="000000"/>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1.</w:t>
            </w:r>
          </w:p>
        </w:tc>
        <w:tc>
          <w:tcPr>
            <w:tcW w:w="4099" w:type="dxa"/>
            <w:tcBorders>
              <w:top w:val="nil"/>
              <w:left w:val="nil"/>
              <w:bottom w:val="single" w:sz="3" w:space="0" w:color="000000"/>
              <w:right w:val="single" w:sz="3" w:space="0" w:color="000000"/>
            </w:tcBorders>
            <w:shd w:val="clear" w:color="000000" w:fill="FFFFFF"/>
            <w:vAlign w:val="bottom"/>
          </w:tcPr>
          <w:p w:rsidR="00D8643F" w:rsidRPr="00D8643F" w:rsidRDefault="00D8643F">
            <w:pPr>
              <w:autoSpaceDE w:val="0"/>
              <w:autoSpaceDN w:val="0"/>
              <w:adjustRightInd w:val="0"/>
              <w:rPr>
                <w:rFonts w:ascii="Calibri" w:hAnsi="Calibri" w:cs="Calibri"/>
                <w:sz w:val="22"/>
                <w:szCs w:val="22"/>
                <w:lang w:val="ru-RU"/>
              </w:rPr>
            </w:pPr>
            <w:r>
              <w:rPr>
                <w:rFonts w:ascii="Times New Roman CYR" w:hAnsi="Times New Roman CYR" w:cs="Times New Roman CYR"/>
                <w:sz w:val="27"/>
                <w:szCs w:val="27"/>
              </w:rPr>
              <w:t>Комп</w:t>
            </w:r>
            <w:r>
              <w:rPr>
                <w:rFonts w:ascii="Times New Roman CYR" w:hAnsi="Times New Roman CYR" w:cs="Times New Roman CYR"/>
                <w:sz w:val="28"/>
                <w:szCs w:val="28"/>
              </w:rPr>
              <w:t>’</w:t>
            </w:r>
            <w:r>
              <w:rPr>
                <w:rFonts w:ascii="Times New Roman CYR" w:hAnsi="Times New Roman CYR" w:cs="Times New Roman CYR"/>
                <w:sz w:val="27"/>
                <w:szCs w:val="27"/>
              </w:rPr>
              <w:t>ютер в комплекті (монітор/системний блок/клавіатура/мишка/кабель)</w:t>
            </w:r>
          </w:p>
        </w:tc>
        <w:tc>
          <w:tcPr>
            <w:tcW w:w="1134"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rFonts w:ascii="Times New Roman CYR" w:hAnsi="Times New Roman CYR" w:cs="Times New Roman CYR"/>
                <w:sz w:val="27"/>
                <w:szCs w:val="27"/>
              </w:rPr>
              <w:t>шт.</w:t>
            </w:r>
          </w:p>
        </w:tc>
        <w:tc>
          <w:tcPr>
            <w:tcW w:w="851"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1</w:t>
            </w:r>
          </w:p>
        </w:tc>
        <w:tc>
          <w:tcPr>
            <w:tcW w:w="1266"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13500,00</w:t>
            </w:r>
          </w:p>
        </w:tc>
        <w:tc>
          <w:tcPr>
            <w:tcW w:w="1427"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13500,00</w:t>
            </w:r>
          </w:p>
        </w:tc>
      </w:tr>
      <w:tr w:rsidR="00D8643F">
        <w:tblPrEx>
          <w:tblCellMar>
            <w:top w:w="0" w:type="dxa"/>
            <w:bottom w:w="0" w:type="dxa"/>
          </w:tblCellMar>
        </w:tblPrEx>
        <w:trPr>
          <w:trHeight w:val="300"/>
        </w:trPr>
        <w:tc>
          <w:tcPr>
            <w:tcW w:w="594" w:type="dxa"/>
            <w:tcBorders>
              <w:top w:val="nil"/>
              <w:left w:val="single" w:sz="3" w:space="0" w:color="000000"/>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2.</w:t>
            </w:r>
          </w:p>
        </w:tc>
        <w:tc>
          <w:tcPr>
            <w:tcW w:w="4099" w:type="dxa"/>
            <w:tcBorders>
              <w:top w:val="nil"/>
              <w:left w:val="nil"/>
              <w:bottom w:val="single" w:sz="3" w:space="0" w:color="000000"/>
              <w:right w:val="single" w:sz="3" w:space="0" w:color="000000"/>
            </w:tcBorders>
            <w:shd w:val="clear" w:color="000000" w:fill="FFFFFF"/>
            <w:vAlign w:val="bottom"/>
          </w:tcPr>
          <w:p w:rsidR="00D8643F" w:rsidRPr="00D8643F" w:rsidRDefault="00D8643F">
            <w:pPr>
              <w:autoSpaceDE w:val="0"/>
              <w:autoSpaceDN w:val="0"/>
              <w:adjustRightInd w:val="0"/>
              <w:rPr>
                <w:rFonts w:ascii="Calibri" w:hAnsi="Calibri" w:cs="Calibri"/>
                <w:sz w:val="22"/>
                <w:szCs w:val="22"/>
                <w:lang w:val="ru-RU"/>
              </w:rPr>
            </w:pPr>
            <w:r>
              <w:rPr>
                <w:rFonts w:ascii="Times New Roman CYR" w:hAnsi="Times New Roman CYR" w:cs="Times New Roman CYR"/>
                <w:sz w:val="27"/>
                <w:szCs w:val="27"/>
              </w:rPr>
              <w:t xml:space="preserve">Принтер НР з додатковим оригінальним картриджем </w:t>
            </w:r>
          </w:p>
        </w:tc>
        <w:tc>
          <w:tcPr>
            <w:tcW w:w="1134"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rFonts w:ascii="Times New Roman CYR" w:hAnsi="Times New Roman CYR" w:cs="Times New Roman CYR"/>
                <w:sz w:val="27"/>
                <w:szCs w:val="27"/>
              </w:rPr>
              <w:t>шт</w:t>
            </w:r>
          </w:p>
        </w:tc>
        <w:tc>
          <w:tcPr>
            <w:tcW w:w="851"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4</w:t>
            </w:r>
          </w:p>
        </w:tc>
        <w:tc>
          <w:tcPr>
            <w:tcW w:w="1266"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8720,00</w:t>
            </w:r>
          </w:p>
        </w:tc>
        <w:tc>
          <w:tcPr>
            <w:tcW w:w="1427"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34880,00</w:t>
            </w:r>
          </w:p>
        </w:tc>
      </w:tr>
      <w:tr w:rsidR="00D8643F">
        <w:tblPrEx>
          <w:tblCellMar>
            <w:top w:w="0" w:type="dxa"/>
            <w:bottom w:w="0" w:type="dxa"/>
          </w:tblCellMar>
        </w:tblPrEx>
        <w:trPr>
          <w:trHeight w:val="300"/>
        </w:trPr>
        <w:tc>
          <w:tcPr>
            <w:tcW w:w="594" w:type="dxa"/>
            <w:tcBorders>
              <w:top w:val="nil"/>
              <w:left w:val="single" w:sz="3" w:space="0" w:color="000000"/>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 </w:t>
            </w:r>
          </w:p>
        </w:tc>
        <w:tc>
          <w:tcPr>
            <w:tcW w:w="4099"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rFonts w:ascii="Times New Roman CYR" w:hAnsi="Times New Roman CYR" w:cs="Times New Roman CYR"/>
                <w:sz w:val="27"/>
                <w:szCs w:val="27"/>
              </w:rPr>
              <w:t>Разом, грн.</w:t>
            </w:r>
          </w:p>
        </w:tc>
        <w:tc>
          <w:tcPr>
            <w:tcW w:w="1134"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 </w:t>
            </w:r>
          </w:p>
        </w:tc>
        <w:tc>
          <w:tcPr>
            <w:tcW w:w="851"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 </w:t>
            </w:r>
          </w:p>
        </w:tc>
        <w:tc>
          <w:tcPr>
            <w:tcW w:w="1266"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rPr>
                <w:rFonts w:ascii="Calibri" w:hAnsi="Calibri" w:cs="Calibri"/>
                <w:sz w:val="22"/>
                <w:szCs w:val="22"/>
                <w:lang w:val="en"/>
              </w:rPr>
            </w:pPr>
            <w:r>
              <w:rPr>
                <w:sz w:val="27"/>
                <w:szCs w:val="27"/>
                <w:lang w:val="en"/>
              </w:rPr>
              <w:t> </w:t>
            </w:r>
          </w:p>
        </w:tc>
        <w:tc>
          <w:tcPr>
            <w:tcW w:w="1427" w:type="dxa"/>
            <w:tcBorders>
              <w:top w:val="nil"/>
              <w:left w:val="nil"/>
              <w:bottom w:val="single" w:sz="3" w:space="0" w:color="000000"/>
              <w:right w:val="single" w:sz="3" w:space="0" w:color="000000"/>
            </w:tcBorders>
            <w:shd w:val="clear" w:color="000000" w:fill="FFFFFF"/>
            <w:vAlign w:val="bottom"/>
          </w:tcPr>
          <w:p w:rsidR="00D8643F" w:rsidRDefault="00D8643F">
            <w:pPr>
              <w:autoSpaceDE w:val="0"/>
              <w:autoSpaceDN w:val="0"/>
              <w:adjustRightInd w:val="0"/>
              <w:jc w:val="right"/>
              <w:rPr>
                <w:rFonts w:ascii="Calibri" w:hAnsi="Calibri" w:cs="Calibri"/>
                <w:sz w:val="22"/>
                <w:szCs w:val="22"/>
                <w:lang w:val="en"/>
              </w:rPr>
            </w:pPr>
            <w:r>
              <w:rPr>
                <w:sz w:val="27"/>
                <w:szCs w:val="27"/>
                <w:lang w:val="en"/>
              </w:rPr>
              <w:t>48380,00</w:t>
            </w:r>
          </w:p>
        </w:tc>
      </w:tr>
    </w:tbl>
    <w:p w:rsidR="00D8643F" w:rsidRDefault="00D8643F" w:rsidP="00D8643F">
      <w:pPr>
        <w:autoSpaceDE w:val="0"/>
        <w:autoSpaceDN w:val="0"/>
        <w:adjustRightInd w:val="0"/>
        <w:ind w:firstLine="709"/>
        <w:jc w:val="both"/>
        <w:rPr>
          <w:sz w:val="27"/>
          <w:szCs w:val="27"/>
          <w:lang w:val="en"/>
        </w:rPr>
      </w:pPr>
    </w:p>
    <w:p w:rsidR="00D8643F" w:rsidRDefault="00D8643F" w:rsidP="00D8643F">
      <w:pPr>
        <w:autoSpaceDE w:val="0"/>
        <w:autoSpaceDN w:val="0"/>
        <w:adjustRightInd w:val="0"/>
        <w:ind w:firstLine="709"/>
        <w:jc w:val="both"/>
        <w:rPr>
          <w:rFonts w:ascii="Times New Roman CYR" w:hAnsi="Times New Roman CYR" w:cs="Times New Roman CYR"/>
          <w:sz w:val="27"/>
          <w:szCs w:val="27"/>
        </w:rPr>
      </w:pPr>
      <w:r>
        <w:rPr>
          <w:rFonts w:ascii="Times New Roman CYR" w:hAnsi="Times New Roman CYR" w:cs="Times New Roman CYR"/>
          <w:sz w:val="27"/>
          <w:szCs w:val="27"/>
        </w:rPr>
        <w:t xml:space="preserve">Таким чином, програмне фінансування 2019 року використано на матеріально-технічне оснащення управління Казначейства, що дало можливість оновити 4 фізично та морально застарілих принтера та 1 комп’ютера.  </w:t>
      </w:r>
    </w:p>
    <w:p w:rsidR="00D8643F" w:rsidRDefault="00D8643F" w:rsidP="00D8643F">
      <w:pPr>
        <w:autoSpaceDE w:val="0"/>
        <w:autoSpaceDN w:val="0"/>
        <w:adjustRightInd w:val="0"/>
        <w:ind w:firstLine="709"/>
        <w:jc w:val="both"/>
        <w:rPr>
          <w:rFonts w:ascii="Times New Roman CYR" w:hAnsi="Times New Roman CYR" w:cs="Times New Roman CYR"/>
          <w:sz w:val="27"/>
          <w:szCs w:val="27"/>
        </w:rPr>
      </w:pPr>
      <w:r>
        <w:rPr>
          <w:rFonts w:ascii="Times New Roman CYR" w:hAnsi="Times New Roman CYR" w:cs="Times New Roman CYR"/>
          <w:sz w:val="27"/>
          <w:szCs w:val="27"/>
        </w:rPr>
        <w:t>Метою зміцнення матеріально-технічної бази є підвищення якості надання фінансових послуг учасникам бюджетного процесу, створення умов для задоволення інформаційних потреб, розвитку, використання інформаційних систем, мереж, ресурсів та інформаційних технологій, побудованих на основі застосування сучасної обчислювальної офісної техніки.</w:t>
      </w:r>
    </w:p>
    <w:p w:rsidR="00D8643F" w:rsidRDefault="00D8643F" w:rsidP="00D8643F">
      <w:pPr>
        <w:autoSpaceDE w:val="0"/>
        <w:autoSpaceDN w:val="0"/>
        <w:adjustRightInd w:val="0"/>
        <w:ind w:firstLine="709"/>
        <w:jc w:val="both"/>
        <w:rPr>
          <w:rFonts w:ascii="Times New Roman CYR" w:hAnsi="Times New Roman CYR" w:cs="Times New Roman CYR"/>
          <w:sz w:val="27"/>
          <w:szCs w:val="27"/>
        </w:rPr>
      </w:pPr>
      <w:r>
        <w:rPr>
          <w:rFonts w:ascii="Times New Roman CYR" w:hAnsi="Times New Roman CYR" w:cs="Times New Roman CYR"/>
          <w:sz w:val="27"/>
          <w:szCs w:val="27"/>
        </w:rPr>
        <w:lastRenderedPageBreak/>
        <w:t xml:space="preserve">Оскільки комп’ютерна та офісна техніка в управлінні Казначейства  протягом тривалого часу не оновлювалась, придбання нових принтерів та комп'ютера дало змогу у більш якісному веденні роботи управління та виконання покладених на нього функцій щодо обслуговування розпорядників та одержувачів коштів міського бюджету м.Чернівців.  </w:t>
      </w:r>
    </w:p>
    <w:p w:rsidR="00D8643F" w:rsidRDefault="00D8643F" w:rsidP="00D8643F">
      <w:pPr>
        <w:autoSpaceDE w:val="0"/>
        <w:autoSpaceDN w:val="0"/>
        <w:adjustRightInd w:val="0"/>
        <w:ind w:firstLine="709"/>
        <w:jc w:val="both"/>
        <w:rPr>
          <w:rFonts w:ascii="Times New Roman CYR" w:hAnsi="Times New Roman CYR" w:cs="Times New Roman CYR"/>
          <w:sz w:val="27"/>
          <w:szCs w:val="27"/>
        </w:rPr>
      </w:pPr>
      <w:r>
        <w:rPr>
          <w:rFonts w:ascii="Times New Roman CYR" w:hAnsi="Times New Roman CYR" w:cs="Times New Roman CYR"/>
          <w:sz w:val="27"/>
          <w:szCs w:val="27"/>
        </w:rPr>
        <w:t xml:space="preserve">Зазначене оновлення дозволило прискорити темпи обробленої інформації, впровадити інші новітні технології у діяльність управління для значного якісного обслуговування клієнтів. </w:t>
      </w:r>
    </w:p>
    <w:p w:rsidR="00D8643F" w:rsidRPr="00D8643F" w:rsidRDefault="00D8643F" w:rsidP="00D8643F">
      <w:pPr>
        <w:autoSpaceDE w:val="0"/>
        <w:autoSpaceDN w:val="0"/>
        <w:adjustRightInd w:val="0"/>
        <w:spacing w:line="20" w:lineRule="atLeast"/>
        <w:ind w:left="720"/>
        <w:rPr>
          <w:b/>
          <w:bCs/>
          <w:sz w:val="27"/>
          <w:szCs w:val="27"/>
          <w:lang w:val="ru-RU"/>
        </w:rPr>
      </w:pPr>
    </w:p>
    <w:p w:rsidR="00D8643F" w:rsidRDefault="009431FF" w:rsidP="009431FF">
      <w:pPr>
        <w:tabs>
          <w:tab w:val="left" w:pos="720"/>
        </w:tabs>
        <w:autoSpaceDE w:val="0"/>
        <w:autoSpaceDN w:val="0"/>
        <w:adjustRightInd w:val="0"/>
        <w:spacing w:line="20" w:lineRule="atLeast"/>
        <w:ind w:left="360"/>
        <w:jc w:val="center"/>
        <w:rPr>
          <w:rFonts w:ascii="Times New Roman CYR" w:hAnsi="Times New Roman CYR" w:cs="Times New Roman CYR"/>
          <w:b/>
          <w:bCs/>
          <w:sz w:val="27"/>
          <w:szCs w:val="27"/>
        </w:rPr>
      </w:pPr>
      <w:r w:rsidRPr="00103366">
        <w:rPr>
          <w:rFonts w:ascii="Times New Roman CYR" w:hAnsi="Times New Roman CYR" w:cs="Times New Roman CYR"/>
          <w:b/>
          <w:bCs/>
          <w:sz w:val="27"/>
          <w:szCs w:val="27"/>
          <w:lang w:val="ru-RU"/>
        </w:rPr>
        <w:t>2.</w:t>
      </w:r>
      <w:r w:rsidR="00D8643F">
        <w:rPr>
          <w:rFonts w:ascii="Times New Roman CYR" w:hAnsi="Times New Roman CYR" w:cs="Times New Roman CYR"/>
          <w:b/>
          <w:bCs/>
          <w:sz w:val="27"/>
          <w:szCs w:val="27"/>
        </w:rPr>
        <w:t>Ефективність та результативність реалізації</w:t>
      </w:r>
    </w:p>
    <w:p w:rsidR="00D8643F" w:rsidRDefault="00D8643F" w:rsidP="00D8643F">
      <w:pPr>
        <w:autoSpaceDE w:val="0"/>
        <w:autoSpaceDN w:val="0"/>
        <w:adjustRightInd w:val="0"/>
        <w:spacing w:line="20" w:lineRule="atLeast"/>
        <w:jc w:val="center"/>
        <w:rPr>
          <w:rFonts w:ascii="Times New Roman CYR" w:hAnsi="Times New Roman CYR" w:cs="Times New Roman CYR"/>
          <w:b/>
          <w:bCs/>
          <w:sz w:val="27"/>
          <w:szCs w:val="27"/>
        </w:rPr>
      </w:pPr>
      <w:r>
        <w:rPr>
          <w:rFonts w:ascii="Times New Roman CYR" w:hAnsi="Times New Roman CYR" w:cs="Times New Roman CYR"/>
          <w:b/>
          <w:bCs/>
          <w:sz w:val="27"/>
          <w:szCs w:val="27"/>
        </w:rPr>
        <w:t xml:space="preserve">заходів Програми </w:t>
      </w:r>
    </w:p>
    <w:p w:rsidR="00D8643F" w:rsidRDefault="00D8643F" w:rsidP="00D8643F">
      <w:pPr>
        <w:autoSpaceDE w:val="0"/>
        <w:autoSpaceDN w:val="0"/>
        <w:adjustRightInd w:val="0"/>
        <w:spacing w:line="322" w:lineRule="atLeast"/>
        <w:ind w:left="5" w:firstLine="701"/>
        <w:jc w:val="both"/>
        <w:rPr>
          <w:rFonts w:ascii="Times New Roman CYR" w:hAnsi="Times New Roman CYR" w:cs="Times New Roman CYR"/>
          <w:spacing w:val="-9"/>
          <w:sz w:val="27"/>
          <w:szCs w:val="27"/>
          <w:highlight w:val="white"/>
        </w:rPr>
      </w:pPr>
      <w:r>
        <w:rPr>
          <w:rFonts w:ascii="Times New Roman CYR" w:hAnsi="Times New Roman CYR" w:cs="Times New Roman CYR"/>
          <w:sz w:val="27"/>
          <w:szCs w:val="27"/>
          <w:highlight w:val="white"/>
        </w:rPr>
        <w:t xml:space="preserve">Тісна взаємодія управління Казначейства з органами виконавчої влади та місцевого самоврядування  забезпечує </w:t>
      </w:r>
      <w:r>
        <w:rPr>
          <w:rFonts w:ascii="Times New Roman CYR" w:hAnsi="Times New Roman CYR" w:cs="Times New Roman CYR"/>
          <w:spacing w:val="-3"/>
          <w:sz w:val="27"/>
          <w:szCs w:val="27"/>
          <w:highlight w:val="white"/>
        </w:rPr>
        <w:t xml:space="preserve">підвищення дієвості та ефективності функціонування системи </w:t>
      </w:r>
      <w:r>
        <w:rPr>
          <w:rFonts w:ascii="Times New Roman CYR" w:hAnsi="Times New Roman CYR" w:cs="Times New Roman CYR"/>
          <w:spacing w:val="-1"/>
          <w:sz w:val="27"/>
          <w:szCs w:val="27"/>
          <w:highlight w:val="white"/>
        </w:rPr>
        <w:t xml:space="preserve">казначейського обслуговування бюджету, спрямованої на зміцнення </w:t>
      </w:r>
      <w:r>
        <w:rPr>
          <w:rFonts w:ascii="Times New Roman CYR" w:hAnsi="Times New Roman CYR" w:cs="Times New Roman CYR"/>
          <w:spacing w:val="-8"/>
          <w:sz w:val="27"/>
          <w:szCs w:val="27"/>
          <w:highlight w:val="white"/>
        </w:rPr>
        <w:t xml:space="preserve">фінансової системи, </w:t>
      </w:r>
      <w:r>
        <w:rPr>
          <w:rFonts w:ascii="Times New Roman CYR" w:hAnsi="Times New Roman CYR" w:cs="Times New Roman CYR"/>
          <w:spacing w:val="-9"/>
          <w:sz w:val="27"/>
          <w:szCs w:val="27"/>
          <w:highlight w:val="white"/>
        </w:rPr>
        <w:t xml:space="preserve">покращення якості послуг, що надаються управлінням Казначейства за </w:t>
      </w:r>
      <w:r>
        <w:rPr>
          <w:rFonts w:ascii="Times New Roman CYR" w:hAnsi="Times New Roman CYR" w:cs="Times New Roman CYR"/>
          <w:spacing w:val="-10"/>
          <w:sz w:val="27"/>
          <w:szCs w:val="27"/>
          <w:highlight w:val="white"/>
        </w:rPr>
        <w:t xml:space="preserve">рахунок використання сучасних методів обробки інформації, безперервної модернізації та удосконалення багаторівневої інформаційно-обчислювальної </w:t>
      </w:r>
      <w:r>
        <w:rPr>
          <w:rFonts w:ascii="Times New Roman CYR" w:hAnsi="Times New Roman CYR" w:cs="Times New Roman CYR"/>
          <w:sz w:val="27"/>
          <w:szCs w:val="27"/>
          <w:highlight w:val="white"/>
        </w:rPr>
        <w:t>системи ДКСУ.</w:t>
      </w:r>
    </w:p>
    <w:p w:rsidR="00D8643F" w:rsidRDefault="00D8643F" w:rsidP="00D8643F">
      <w:pPr>
        <w:autoSpaceDE w:val="0"/>
        <w:autoSpaceDN w:val="0"/>
        <w:adjustRightInd w:val="0"/>
        <w:spacing w:line="20" w:lineRule="atLeast"/>
        <w:ind w:firstLine="709"/>
        <w:jc w:val="both"/>
        <w:rPr>
          <w:rFonts w:ascii="Times New Roman CYR" w:hAnsi="Times New Roman CYR" w:cs="Times New Roman CYR"/>
          <w:sz w:val="27"/>
          <w:szCs w:val="27"/>
        </w:rPr>
      </w:pPr>
      <w:r>
        <w:rPr>
          <w:rFonts w:ascii="Times New Roman CYR" w:hAnsi="Times New Roman CYR" w:cs="Times New Roman CYR"/>
          <w:sz w:val="27"/>
          <w:szCs w:val="27"/>
        </w:rPr>
        <w:t xml:space="preserve">Придбана техніка дає можливість готувати, обробляти та друкувати високоякісні текстові документи, а саме швидко роздруковувати реєстри сформованих платіжних доручень, що дозволило скоротити час на обробку та оплату платіжних доручень розпорядників та одержувачів коштів міського бюджету. </w:t>
      </w:r>
    </w:p>
    <w:p w:rsidR="00D8643F" w:rsidRDefault="00D8643F" w:rsidP="00D8643F">
      <w:pPr>
        <w:autoSpaceDE w:val="0"/>
        <w:autoSpaceDN w:val="0"/>
        <w:adjustRightInd w:val="0"/>
        <w:spacing w:line="20" w:lineRule="atLeast"/>
        <w:ind w:firstLine="709"/>
        <w:jc w:val="both"/>
        <w:rPr>
          <w:rFonts w:ascii="Times New Roman CYR" w:hAnsi="Times New Roman CYR" w:cs="Times New Roman CYR"/>
          <w:sz w:val="27"/>
          <w:szCs w:val="27"/>
        </w:rPr>
      </w:pPr>
      <w:r>
        <w:rPr>
          <w:rFonts w:ascii="Times New Roman CYR" w:hAnsi="Times New Roman CYR" w:cs="Times New Roman CYR"/>
          <w:sz w:val="27"/>
          <w:szCs w:val="27"/>
        </w:rPr>
        <w:t>Залишок в сумі 1620 грн. повернуто до міського бюджету.</w:t>
      </w:r>
    </w:p>
    <w:p w:rsidR="00D8643F" w:rsidRPr="00D8643F" w:rsidRDefault="00D8643F" w:rsidP="00D8643F">
      <w:pPr>
        <w:autoSpaceDE w:val="0"/>
        <w:autoSpaceDN w:val="0"/>
        <w:adjustRightInd w:val="0"/>
        <w:jc w:val="both"/>
        <w:rPr>
          <w:sz w:val="27"/>
          <w:szCs w:val="27"/>
          <w:lang w:val="ru-RU"/>
        </w:rPr>
      </w:pPr>
    </w:p>
    <w:p w:rsidR="00D8643F" w:rsidRPr="00D8643F" w:rsidRDefault="00D8643F" w:rsidP="00D8643F">
      <w:pPr>
        <w:autoSpaceDE w:val="0"/>
        <w:autoSpaceDN w:val="0"/>
        <w:adjustRightInd w:val="0"/>
        <w:jc w:val="both"/>
        <w:rPr>
          <w:b/>
          <w:bCs/>
          <w:sz w:val="27"/>
          <w:szCs w:val="27"/>
          <w:lang w:val="ru-RU"/>
        </w:rPr>
      </w:pPr>
    </w:p>
    <w:p w:rsidR="00D8643F" w:rsidRDefault="00D8643F" w:rsidP="00D8643F">
      <w:pPr>
        <w:autoSpaceDE w:val="0"/>
        <w:autoSpaceDN w:val="0"/>
        <w:adjustRightInd w:val="0"/>
        <w:jc w:val="both"/>
        <w:rPr>
          <w:rFonts w:ascii="Times New Roman CYR" w:hAnsi="Times New Roman CYR" w:cs="Times New Roman CYR"/>
          <w:b/>
          <w:bCs/>
          <w:sz w:val="27"/>
          <w:szCs w:val="27"/>
        </w:rPr>
      </w:pPr>
      <w:r>
        <w:rPr>
          <w:rFonts w:ascii="Times New Roman CYR" w:hAnsi="Times New Roman CYR" w:cs="Times New Roman CYR"/>
          <w:b/>
          <w:bCs/>
          <w:sz w:val="27"/>
          <w:szCs w:val="27"/>
        </w:rPr>
        <w:t xml:space="preserve">Начальник управління Державної </w:t>
      </w:r>
    </w:p>
    <w:p w:rsidR="00D8643F" w:rsidRDefault="00D8643F" w:rsidP="00D8643F">
      <w:pPr>
        <w:autoSpaceDE w:val="0"/>
        <w:autoSpaceDN w:val="0"/>
        <w:adjustRightInd w:val="0"/>
        <w:jc w:val="both"/>
        <w:rPr>
          <w:rFonts w:ascii="Times New Roman CYR" w:hAnsi="Times New Roman CYR" w:cs="Times New Roman CYR"/>
          <w:b/>
          <w:bCs/>
          <w:sz w:val="27"/>
          <w:szCs w:val="27"/>
        </w:rPr>
      </w:pPr>
      <w:r>
        <w:rPr>
          <w:rFonts w:ascii="Times New Roman CYR" w:hAnsi="Times New Roman CYR" w:cs="Times New Roman CYR"/>
          <w:b/>
          <w:bCs/>
          <w:sz w:val="27"/>
          <w:szCs w:val="27"/>
        </w:rPr>
        <w:t xml:space="preserve">казначейської служби України у </w:t>
      </w:r>
    </w:p>
    <w:p w:rsidR="00D8643F" w:rsidRDefault="00D8643F" w:rsidP="00D8643F">
      <w:pPr>
        <w:autoSpaceDE w:val="0"/>
        <w:autoSpaceDN w:val="0"/>
        <w:adjustRightInd w:val="0"/>
        <w:jc w:val="both"/>
        <w:rPr>
          <w:rFonts w:ascii="Times New Roman CYR" w:hAnsi="Times New Roman CYR" w:cs="Times New Roman CYR"/>
        </w:rPr>
      </w:pPr>
      <w:r>
        <w:rPr>
          <w:rFonts w:ascii="Times New Roman CYR" w:hAnsi="Times New Roman CYR" w:cs="Times New Roman CYR"/>
          <w:b/>
          <w:bCs/>
          <w:sz w:val="27"/>
          <w:szCs w:val="27"/>
        </w:rPr>
        <w:t xml:space="preserve">м. Чернівцях Чернівецької області                         </w:t>
      </w:r>
      <w:r w:rsidRPr="00D8643F">
        <w:rPr>
          <w:rFonts w:ascii="Times New Roman CYR" w:hAnsi="Times New Roman CYR" w:cs="Times New Roman CYR"/>
          <w:b/>
          <w:bCs/>
          <w:sz w:val="27"/>
          <w:szCs w:val="27"/>
          <w:lang w:val="ru-RU"/>
        </w:rPr>
        <w:t xml:space="preserve">           </w:t>
      </w:r>
      <w:r>
        <w:rPr>
          <w:rFonts w:ascii="Times New Roman CYR" w:hAnsi="Times New Roman CYR" w:cs="Times New Roman CYR"/>
          <w:b/>
          <w:bCs/>
          <w:sz w:val="27"/>
          <w:szCs w:val="27"/>
        </w:rPr>
        <w:t xml:space="preserve">            Ірина Мусаєва </w:t>
      </w:r>
      <w:r>
        <w:rPr>
          <w:rFonts w:ascii="Times New Roman CYR" w:hAnsi="Times New Roman CYR" w:cs="Times New Roman CYR"/>
          <w:b/>
          <w:bCs/>
          <w:sz w:val="27"/>
          <w:szCs w:val="27"/>
        </w:rPr>
        <w:tab/>
      </w:r>
      <w:r>
        <w:rPr>
          <w:rFonts w:ascii="Times New Roman CYR" w:hAnsi="Times New Roman CYR" w:cs="Times New Roman CYR"/>
          <w:b/>
          <w:bCs/>
          <w:sz w:val="27"/>
          <w:szCs w:val="27"/>
        </w:rPr>
        <w:tab/>
      </w:r>
      <w:r>
        <w:rPr>
          <w:rFonts w:ascii="Times New Roman CYR" w:hAnsi="Times New Roman CYR" w:cs="Times New Roman CYR"/>
          <w:b/>
          <w:bCs/>
          <w:sz w:val="27"/>
          <w:szCs w:val="27"/>
        </w:rPr>
        <w:tab/>
      </w:r>
      <w:r>
        <w:rPr>
          <w:rFonts w:ascii="Times New Roman CYR" w:hAnsi="Times New Roman CYR" w:cs="Times New Roman CYR"/>
          <w:b/>
          <w:bCs/>
          <w:sz w:val="27"/>
          <w:szCs w:val="27"/>
        </w:rPr>
        <w:tab/>
        <w:t xml:space="preserve">     </w:t>
      </w: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D8643F">
      <w:pPr>
        <w:autoSpaceDE w:val="0"/>
        <w:autoSpaceDN w:val="0"/>
        <w:adjustRightInd w:val="0"/>
        <w:rPr>
          <w:lang w:val="ru-RU"/>
        </w:rPr>
      </w:pPr>
    </w:p>
    <w:p w:rsidR="00D8643F" w:rsidRPr="00D8643F" w:rsidRDefault="00D8643F" w:rsidP="007D5092">
      <w:pPr>
        <w:autoSpaceDE w:val="0"/>
        <w:autoSpaceDN w:val="0"/>
        <w:adjustRightInd w:val="0"/>
        <w:rPr>
          <w:rFonts w:ascii="Times New Roman CYR" w:hAnsi="Times New Roman CYR" w:cs="Times New Roman CYR"/>
          <w:b/>
          <w:bCs/>
          <w:sz w:val="28"/>
          <w:szCs w:val="28"/>
          <w:highlight w:val="white"/>
          <w:lang w:val="ru-RU"/>
        </w:rPr>
      </w:pPr>
    </w:p>
    <w:sectPr w:rsidR="00D8643F" w:rsidRPr="00D8643F" w:rsidSect="00D61908">
      <w:pgSz w:w="12240" w:h="15840"/>
      <w:pgMar w:top="1134" w:right="850" w:bottom="1134"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D9EE3E0"/>
    <w:lvl w:ilvl="0">
      <w:numFmt w:val="decimal"/>
      <w:lvlText w:val="*"/>
      <w:lvlJc w:val="left"/>
    </w:lvl>
  </w:abstractNum>
  <w:abstractNum w:abstractNumId="1" w15:restartNumberingAfterBreak="0">
    <w:nsid w:val="103A341C"/>
    <w:multiLevelType w:val="hybridMultilevel"/>
    <w:tmpl w:val="33385E06"/>
    <w:lvl w:ilvl="0" w:tplc="88664554">
      <w:start w:val="3"/>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304577C4"/>
    <w:multiLevelType w:val="hybridMultilevel"/>
    <w:tmpl w:val="935CAD92"/>
    <w:lvl w:ilvl="0" w:tplc="B218E65A">
      <w:start w:val="4"/>
      <w:numFmt w:val="decimal"/>
      <w:lvlText w:val="%1."/>
      <w:lvlJc w:val="left"/>
      <w:pPr>
        <w:tabs>
          <w:tab w:val="num" w:pos="930"/>
        </w:tabs>
        <w:ind w:left="930" w:hanging="360"/>
      </w:pPr>
      <w:rPr>
        <w:rFonts w:hint="default"/>
        <w:b/>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 w15:restartNumberingAfterBreak="0">
    <w:nsid w:val="382F1E03"/>
    <w:multiLevelType w:val="hybridMultilevel"/>
    <w:tmpl w:val="0DC80BC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908"/>
    <w:rsid w:val="00015F6D"/>
    <w:rsid w:val="00023BD9"/>
    <w:rsid w:val="00103366"/>
    <w:rsid w:val="00110C4B"/>
    <w:rsid w:val="00116390"/>
    <w:rsid w:val="00165E02"/>
    <w:rsid w:val="001844A9"/>
    <w:rsid w:val="00190BAD"/>
    <w:rsid w:val="003850A0"/>
    <w:rsid w:val="00445AD9"/>
    <w:rsid w:val="005E50AD"/>
    <w:rsid w:val="006837F9"/>
    <w:rsid w:val="006C143C"/>
    <w:rsid w:val="007451A0"/>
    <w:rsid w:val="007D5092"/>
    <w:rsid w:val="00892AE3"/>
    <w:rsid w:val="008C559D"/>
    <w:rsid w:val="009431FF"/>
    <w:rsid w:val="00A82FE4"/>
    <w:rsid w:val="00AF7ECA"/>
    <w:rsid w:val="00D61908"/>
    <w:rsid w:val="00D8643F"/>
    <w:rsid w:val="00F26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F4DE1B-E99D-49C7-B6FE-556B5090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908"/>
    <w:rPr>
      <w:sz w:val="24"/>
      <w:szCs w:val="24"/>
      <w:lang w:val="uk-UA"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У К Р А Ї Н А</vt:lpstr>
    </vt:vector>
  </TitlesOfParts>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subject/>
  <dc:creator>2451-melnyki</dc:creator>
  <cp:keywords/>
  <cp:lastModifiedBy>kompvid2</cp:lastModifiedBy>
  <cp:revision>2</cp:revision>
  <dcterms:created xsi:type="dcterms:W3CDTF">2020-02-21T10:10:00Z</dcterms:created>
  <dcterms:modified xsi:type="dcterms:W3CDTF">2020-02-21T10:10:00Z</dcterms:modified>
</cp:coreProperties>
</file>