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27A" w:rsidRDefault="0008727A" w:rsidP="0008727A">
      <w:pPr>
        <w:ind w:right="45"/>
        <w:jc w:val="center"/>
        <w:rPr>
          <w:b/>
          <w:sz w:val="26"/>
          <w:szCs w:val="26"/>
          <w:lang w:val="en-US"/>
        </w:rPr>
      </w:pPr>
      <w:bookmarkStart w:id="0" w:name="_GoBack"/>
      <w:bookmarkEnd w:id="0"/>
      <w:r w:rsidRPr="00C1305E">
        <w:rPr>
          <w:b/>
          <w:sz w:val="26"/>
          <w:szCs w:val="26"/>
        </w:rPr>
        <w:t xml:space="preserve">                                                         </w:t>
      </w:r>
      <w:r>
        <w:rPr>
          <w:b/>
          <w:sz w:val="26"/>
          <w:szCs w:val="26"/>
        </w:rPr>
        <w:t xml:space="preserve">     </w:t>
      </w:r>
      <w:r w:rsidRPr="00C1305E">
        <w:rPr>
          <w:b/>
          <w:sz w:val="26"/>
          <w:szCs w:val="26"/>
        </w:rPr>
        <w:t xml:space="preserve">    </w:t>
      </w:r>
    </w:p>
    <w:p w:rsidR="00BC363E" w:rsidRDefault="0008727A" w:rsidP="0008727A">
      <w:pPr>
        <w:ind w:right="45"/>
        <w:jc w:val="center"/>
        <w:rPr>
          <w:b/>
          <w:sz w:val="26"/>
          <w:szCs w:val="26"/>
          <w:lang w:val="en-US"/>
        </w:rPr>
      </w:pPr>
      <w:r>
        <w:rPr>
          <w:b/>
          <w:sz w:val="26"/>
          <w:szCs w:val="26"/>
          <w:lang w:val="en-US"/>
        </w:rPr>
        <w:t xml:space="preserve">                                                                  </w:t>
      </w:r>
    </w:p>
    <w:p w:rsidR="00BC363E" w:rsidRDefault="00BC363E" w:rsidP="0008727A">
      <w:pPr>
        <w:ind w:right="45"/>
        <w:jc w:val="center"/>
        <w:rPr>
          <w:b/>
          <w:sz w:val="26"/>
          <w:szCs w:val="26"/>
          <w:lang w:val="en-US"/>
        </w:rPr>
      </w:pPr>
    </w:p>
    <w:p w:rsidR="00BC363E" w:rsidRDefault="00BC363E" w:rsidP="0008727A">
      <w:pPr>
        <w:ind w:right="45"/>
        <w:jc w:val="center"/>
        <w:rPr>
          <w:b/>
          <w:sz w:val="26"/>
          <w:szCs w:val="26"/>
          <w:lang w:val="en-US"/>
        </w:rPr>
      </w:pPr>
    </w:p>
    <w:p w:rsidR="000E51B7" w:rsidRPr="00324C63" w:rsidRDefault="00BC363E" w:rsidP="000E51B7">
      <w:pPr>
        <w:ind w:right="45"/>
        <w:jc w:val="center"/>
        <w:rPr>
          <w:b/>
          <w:sz w:val="28"/>
          <w:szCs w:val="28"/>
        </w:rPr>
      </w:pPr>
      <w:r w:rsidRPr="000E51B7">
        <w:rPr>
          <w:b/>
          <w:sz w:val="26"/>
          <w:szCs w:val="26"/>
          <w:lang w:val="ru-RU"/>
        </w:rPr>
        <w:t xml:space="preserve">                                                                   </w:t>
      </w:r>
      <w:r w:rsidR="000E51B7" w:rsidRPr="00324C63">
        <w:rPr>
          <w:b/>
          <w:sz w:val="28"/>
          <w:szCs w:val="28"/>
        </w:rPr>
        <w:t xml:space="preserve">Додаток 2 </w:t>
      </w:r>
    </w:p>
    <w:p w:rsidR="000E51B7" w:rsidRPr="00324C63" w:rsidRDefault="000E51B7" w:rsidP="000E51B7">
      <w:pPr>
        <w:ind w:right="45"/>
        <w:jc w:val="center"/>
        <w:rPr>
          <w:b/>
          <w:sz w:val="28"/>
          <w:szCs w:val="28"/>
        </w:rPr>
      </w:pPr>
      <w:r w:rsidRPr="00324C63">
        <w:rPr>
          <w:b/>
          <w:sz w:val="28"/>
          <w:szCs w:val="28"/>
        </w:rPr>
        <w:t xml:space="preserve">                                                                                       до рішення міської ради</w:t>
      </w:r>
    </w:p>
    <w:p w:rsidR="000E51B7" w:rsidRPr="00324C63" w:rsidRDefault="000E51B7" w:rsidP="000E51B7">
      <w:pPr>
        <w:ind w:right="45"/>
        <w:jc w:val="center"/>
        <w:rPr>
          <w:b/>
          <w:sz w:val="28"/>
          <w:szCs w:val="28"/>
        </w:rPr>
      </w:pPr>
      <w:r w:rsidRPr="00324C63">
        <w:rPr>
          <w:b/>
          <w:sz w:val="28"/>
          <w:szCs w:val="28"/>
        </w:rPr>
        <w:t xml:space="preserve">                                                                     </w:t>
      </w:r>
      <w:r w:rsidRPr="00324C63">
        <w:rPr>
          <w:b/>
          <w:sz w:val="28"/>
          <w:szCs w:val="28"/>
          <w:lang w:val="en-US"/>
        </w:rPr>
        <w:t>VII</w:t>
      </w:r>
      <w:r w:rsidRPr="00324C63">
        <w:rPr>
          <w:b/>
          <w:sz w:val="28"/>
          <w:szCs w:val="28"/>
        </w:rPr>
        <w:t xml:space="preserve"> </w:t>
      </w:r>
      <w:r w:rsidRPr="00324C63">
        <w:rPr>
          <w:b/>
          <w:sz w:val="28"/>
          <w:szCs w:val="28"/>
          <w:lang w:val="en-US"/>
        </w:rPr>
        <w:t>c</w:t>
      </w:r>
      <w:r w:rsidRPr="00324C63">
        <w:rPr>
          <w:b/>
          <w:sz w:val="28"/>
          <w:szCs w:val="28"/>
        </w:rPr>
        <w:t>кликання</w:t>
      </w:r>
    </w:p>
    <w:p w:rsidR="000E51B7" w:rsidRPr="00324C63" w:rsidRDefault="000E51B7" w:rsidP="000E51B7">
      <w:pPr>
        <w:ind w:right="45"/>
        <w:jc w:val="center"/>
        <w:rPr>
          <w:b/>
          <w:sz w:val="28"/>
          <w:szCs w:val="28"/>
          <w:u w:val="single"/>
          <w:lang w:val="ru-RU"/>
        </w:rPr>
      </w:pPr>
      <w:r w:rsidRPr="00324C63">
        <w:rPr>
          <w:b/>
          <w:sz w:val="28"/>
          <w:szCs w:val="28"/>
        </w:rPr>
        <w:t xml:space="preserve">                                                                  </w:t>
      </w:r>
      <w:r w:rsidR="005A7BE4">
        <w:rPr>
          <w:b/>
          <w:sz w:val="28"/>
          <w:szCs w:val="28"/>
          <w:lang w:val="en-US"/>
        </w:rPr>
        <w:t xml:space="preserve">          </w:t>
      </w:r>
      <w:r w:rsidR="00017037">
        <w:rPr>
          <w:b/>
          <w:sz w:val="28"/>
          <w:szCs w:val="28"/>
          <w:u w:val="single"/>
        </w:rPr>
        <w:t xml:space="preserve"> 25</w:t>
      </w:r>
      <w:r w:rsidRPr="00324C63">
        <w:rPr>
          <w:b/>
          <w:sz w:val="28"/>
          <w:szCs w:val="28"/>
          <w:u w:val="single"/>
        </w:rPr>
        <w:t>.0</w:t>
      </w:r>
      <w:r w:rsidR="00017037">
        <w:rPr>
          <w:b/>
          <w:sz w:val="28"/>
          <w:szCs w:val="28"/>
          <w:u w:val="single"/>
        </w:rPr>
        <w:t>7</w:t>
      </w:r>
      <w:r w:rsidRPr="00324C63">
        <w:rPr>
          <w:b/>
          <w:sz w:val="28"/>
          <w:szCs w:val="28"/>
          <w:u w:val="single"/>
        </w:rPr>
        <w:t>.201</w:t>
      </w:r>
      <w:r w:rsidR="00017037">
        <w:rPr>
          <w:b/>
          <w:sz w:val="28"/>
          <w:szCs w:val="28"/>
          <w:u w:val="single"/>
        </w:rPr>
        <w:t>9</w:t>
      </w:r>
      <w:r w:rsidRPr="00324C63">
        <w:rPr>
          <w:b/>
          <w:sz w:val="28"/>
          <w:szCs w:val="28"/>
          <w:u w:val="single"/>
        </w:rPr>
        <w:t xml:space="preserve"> №</w:t>
      </w:r>
      <w:r w:rsidR="00CE7C1C">
        <w:rPr>
          <w:b/>
          <w:sz w:val="28"/>
          <w:szCs w:val="28"/>
          <w:u w:val="single"/>
        </w:rPr>
        <w:t xml:space="preserve"> 1776</w:t>
      </w:r>
      <w:r w:rsidRPr="00324C63">
        <w:rPr>
          <w:b/>
          <w:sz w:val="28"/>
          <w:szCs w:val="28"/>
          <w:u w:val="single"/>
        </w:rPr>
        <w:t xml:space="preserve"> </w:t>
      </w:r>
    </w:p>
    <w:p w:rsidR="000E51B7" w:rsidRPr="00C1305E" w:rsidRDefault="000E51B7" w:rsidP="000E51B7">
      <w:pPr>
        <w:pStyle w:val="a4"/>
        <w:rPr>
          <w:sz w:val="26"/>
          <w:szCs w:val="26"/>
          <w:lang w:val="ru-RU"/>
        </w:rPr>
      </w:pPr>
    </w:p>
    <w:p w:rsidR="000E51B7" w:rsidRPr="00324C63" w:rsidRDefault="000E51B7" w:rsidP="000E51B7">
      <w:pPr>
        <w:ind w:right="45" w:hanging="540"/>
        <w:jc w:val="center"/>
        <w:rPr>
          <w:b/>
          <w:sz w:val="28"/>
          <w:szCs w:val="28"/>
        </w:rPr>
      </w:pPr>
      <w:r w:rsidRPr="00324C63">
        <w:rPr>
          <w:b/>
          <w:sz w:val="28"/>
          <w:szCs w:val="28"/>
        </w:rPr>
        <w:t xml:space="preserve">                Умови </w:t>
      </w:r>
    </w:p>
    <w:p w:rsidR="000E51B7" w:rsidRPr="00324C63" w:rsidRDefault="000E51B7" w:rsidP="000E51B7">
      <w:pPr>
        <w:ind w:right="45" w:hanging="540"/>
        <w:jc w:val="center"/>
        <w:rPr>
          <w:sz w:val="28"/>
          <w:szCs w:val="28"/>
        </w:rPr>
      </w:pPr>
      <w:r w:rsidRPr="00324C63">
        <w:rPr>
          <w:sz w:val="28"/>
          <w:szCs w:val="28"/>
        </w:rPr>
        <w:t>продажу права оренди земельної ділянки, що розташована за адресою:</w:t>
      </w:r>
    </w:p>
    <w:p w:rsidR="000E51B7" w:rsidRPr="00324C63" w:rsidRDefault="000E51B7" w:rsidP="000E51B7">
      <w:pPr>
        <w:ind w:right="45" w:hanging="540"/>
        <w:jc w:val="center"/>
        <w:rPr>
          <w:sz w:val="28"/>
          <w:szCs w:val="28"/>
        </w:rPr>
      </w:pPr>
      <w:r w:rsidRPr="00324C63">
        <w:rPr>
          <w:sz w:val="28"/>
          <w:szCs w:val="28"/>
        </w:rPr>
        <w:t xml:space="preserve"> м.Чернівці, </w:t>
      </w:r>
      <w:r w:rsidRPr="00324C63">
        <w:rPr>
          <w:bCs/>
          <w:sz w:val="28"/>
          <w:szCs w:val="28"/>
        </w:rPr>
        <w:t>вул.Каштанова,112</w:t>
      </w:r>
    </w:p>
    <w:p w:rsidR="000E51B7" w:rsidRPr="00C1305E" w:rsidRDefault="000E51B7" w:rsidP="000E51B7">
      <w:pPr>
        <w:ind w:right="45" w:hanging="540"/>
        <w:rPr>
          <w:sz w:val="26"/>
          <w:szCs w:val="26"/>
        </w:rPr>
      </w:pPr>
      <w:r w:rsidRPr="00C1305E">
        <w:rPr>
          <w:sz w:val="26"/>
          <w:szCs w:val="26"/>
        </w:rPr>
        <w:t xml:space="preserve">  </w:t>
      </w:r>
    </w:p>
    <w:p w:rsidR="000E51B7" w:rsidRDefault="000E51B7" w:rsidP="000E51B7">
      <w:pPr>
        <w:jc w:val="both"/>
        <w:rPr>
          <w:bCs/>
          <w:sz w:val="26"/>
          <w:szCs w:val="26"/>
        </w:rPr>
      </w:pPr>
      <w:r w:rsidRPr="00C1305E">
        <w:rPr>
          <w:sz w:val="26"/>
          <w:szCs w:val="26"/>
        </w:rPr>
        <w:t xml:space="preserve">1. Місце розташування (адреса) земельної ділянки: м.Чернівці, </w:t>
      </w:r>
      <w:r w:rsidRPr="00C1305E">
        <w:rPr>
          <w:bCs/>
          <w:sz w:val="26"/>
          <w:szCs w:val="26"/>
        </w:rPr>
        <w:t>вул.</w:t>
      </w:r>
      <w:r>
        <w:rPr>
          <w:bCs/>
          <w:sz w:val="26"/>
          <w:szCs w:val="26"/>
        </w:rPr>
        <w:t>Каштанова,112</w:t>
      </w:r>
      <w:r w:rsidRPr="00C1305E">
        <w:rPr>
          <w:bCs/>
          <w:sz w:val="26"/>
          <w:szCs w:val="26"/>
        </w:rPr>
        <w:t>.</w:t>
      </w:r>
    </w:p>
    <w:p w:rsidR="000E51B7" w:rsidRPr="000E51B7" w:rsidRDefault="000E51B7" w:rsidP="000E51B7">
      <w:pPr>
        <w:jc w:val="both"/>
      </w:pPr>
    </w:p>
    <w:p w:rsidR="000E51B7" w:rsidRDefault="000E51B7" w:rsidP="000E51B7">
      <w:pPr>
        <w:ind w:left="-540" w:firstLine="540"/>
        <w:jc w:val="both"/>
        <w:rPr>
          <w:sz w:val="26"/>
          <w:szCs w:val="26"/>
        </w:rPr>
      </w:pPr>
      <w:r w:rsidRPr="00C1305E">
        <w:rPr>
          <w:sz w:val="26"/>
          <w:szCs w:val="26"/>
        </w:rPr>
        <w:t xml:space="preserve">2.   Площа земельної ділянки: </w:t>
      </w:r>
      <w:r>
        <w:rPr>
          <w:sz w:val="26"/>
          <w:szCs w:val="26"/>
        </w:rPr>
        <w:t>20</w:t>
      </w:r>
      <w:r w:rsidRPr="00C1305E">
        <w:rPr>
          <w:sz w:val="26"/>
          <w:szCs w:val="26"/>
        </w:rPr>
        <w:t>,</w:t>
      </w:r>
      <w:r>
        <w:rPr>
          <w:sz w:val="26"/>
          <w:szCs w:val="26"/>
        </w:rPr>
        <w:t>00</w:t>
      </w:r>
      <w:r w:rsidRPr="00C1305E">
        <w:rPr>
          <w:sz w:val="26"/>
          <w:szCs w:val="26"/>
        </w:rPr>
        <w:t>00га.</w:t>
      </w:r>
    </w:p>
    <w:p w:rsidR="000E51B7" w:rsidRPr="000E51B7" w:rsidRDefault="000E51B7" w:rsidP="000E51B7">
      <w:pPr>
        <w:ind w:left="-540" w:firstLine="540"/>
        <w:jc w:val="both"/>
      </w:pPr>
    </w:p>
    <w:p w:rsidR="000E51B7" w:rsidRDefault="000E51B7" w:rsidP="000E51B7">
      <w:pPr>
        <w:jc w:val="both"/>
        <w:rPr>
          <w:sz w:val="26"/>
          <w:szCs w:val="26"/>
        </w:rPr>
      </w:pPr>
      <w:r w:rsidRPr="00C1305E">
        <w:rPr>
          <w:sz w:val="26"/>
          <w:szCs w:val="26"/>
        </w:rPr>
        <w:t>3.   Кадастровий номер</w:t>
      </w:r>
      <w:r>
        <w:rPr>
          <w:sz w:val="26"/>
          <w:szCs w:val="26"/>
        </w:rPr>
        <w:t xml:space="preserve"> земельної ділянки: 7310136900:5</w:t>
      </w:r>
      <w:r w:rsidRPr="00C1305E">
        <w:rPr>
          <w:sz w:val="26"/>
          <w:szCs w:val="26"/>
        </w:rPr>
        <w:t>4:00</w:t>
      </w:r>
      <w:r>
        <w:rPr>
          <w:sz w:val="26"/>
          <w:szCs w:val="26"/>
        </w:rPr>
        <w:t>2</w:t>
      </w:r>
      <w:r w:rsidRPr="00C1305E">
        <w:rPr>
          <w:sz w:val="26"/>
          <w:szCs w:val="26"/>
        </w:rPr>
        <w:t>:0</w:t>
      </w:r>
      <w:r>
        <w:rPr>
          <w:sz w:val="26"/>
          <w:szCs w:val="26"/>
        </w:rPr>
        <w:t>005</w:t>
      </w:r>
      <w:r w:rsidRPr="00C1305E">
        <w:rPr>
          <w:sz w:val="26"/>
          <w:szCs w:val="26"/>
        </w:rPr>
        <w:t>.</w:t>
      </w:r>
    </w:p>
    <w:p w:rsidR="000E51B7" w:rsidRPr="000E51B7" w:rsidRDefault="000E51B7" w:rsidP="000E51B7">
      <w:pPr>
        <w:ind w:firstLine="540"/>
        <w:jc w:val="both"/>
      </w:pPr>
    </w:p>
    <w:p w:rsidR="000E51B7" w:rsidRDefault="000E51B7" w:rsidP="000E51B7">
      <w:pPr>
        <w:jc w:val="both"/>
        <w:rPr>
          <w:sz w:val="26"/>
          <w:szCs w:val="26"/>
        </w:rPr>
      </w:pPr>
      <w:r w:rsidRPr="00C1305E">
        <w:rPr>
          <w:sz w:val="26"/>
          <w:szCs w:val="26"/>
        </w:rPr>
        <w:t>4. Цільове призначення (код КВЦПЗ 0</w:t>
      </w:r>
      <w:r>
        <w:rPr>
          <w:sz w:val="26"/>
          <w:szCs w:val="26"/>
        </w:rPr>
        <w:t>1.01</w:t>
      </w:r>
      <w:r w:rsidRPr="00C1305E">
        <w:rPr>
          <w:sz w:val="26"/>
          <w:szCs w:val="26"/>
        </w:rPr>
        <w:t xml:space="preserve">.) – для </w:t>
      </w:r>
      <w:r>
        <w:rPr>
          <w:sz w:val="26"/>
          <w:szCs w:val="26"/>
        </w:rPr>
        <w:t>ведення товарного сільськогосподарського виробництва (без права зміни цільового призначення)</w:t>
      </w:r>
      <w:r w:rsidRPr="00C1305E">
        <w:rPr>
          <w:sz w:val="26"/>
          <w:szCs w:val="26"/>
        </w:rPr>
        <w:t>.</w:t>
      </w:r>
    </w:p>
    <w:p w:rsidR="000E51B7" w:rsidRPr="000E51B7" w:rsidRDefault="000E51B7" w:rsidP="000E51B7">
      <w:pPr>
        <w:ind w:firstLine="540"/>
        <w:jc w:val="both"/>
      </w:pPr>
    </w:p>
    <w:p w:rsidR="000E51B7" w:rsidRPr="00C1305E" w:rsidRDefault="000E51B7" w:rsidP="000E51B7">
      <w:pPr>
        <w:jc w:val="both"/>
        <w:rPr>
          <w:sz w:val="26"/>
          <w:szCs w:val="26"/>
        </w:rPr>
      </w:pPr>
      <w:r w:rsidRPr="00C1305E">
        <w:rPr>
          <w:sz w:val="26"/>
          <w:szCs w:val="26"/>
        </w:rPr>
        <w:t>5.  Обов’язкові умови використання земельної ділянки:</w:t>
      </w:r>
    </w:p>
    <w:p w:rsidR="000E51B7" w:rsidRPr="00C1305E" w:rsidRDefault="000E51B7" w:rsidP="000E51B7">
      <w:pPr>
        <w:jc w:val="both"/>
        <w:rPr>
          <w:bCs/>
          <w:sz w:val="26"/>
          <w:szCs w:val="26"/>
        </w:rPr>
      </w:pPr>
      <w:r w:rsidRPr="00C1305E">
        <w:rPr>
          <w:sz w:val="26"/>
          <w:szCs w:val="26"/>
        </w:rPr>
        <w:t xml:space="preserve">5.1 </w:t>
      </w:r>
      <w:r w:rsidRPr="00C1305E">
        <w:rPr>
          <w:bCs/>
          <w:sz w:val="26"/>
          <w:szCs w:val="26"/>
        </w:rPr>
        <w:t>Забезпечувати вільний доступ відповідним службам для обслуговування наявних і прокладання нових інженерних мереж;</w:t>
      </w:r>
    </w:p>
    <w:p w:rsidR="000E51B7" w:rsidRPr="00C1305E" w:rsidRDefault="000E51B7" w:rsidP="000E51B7">
      <w:pPr>
        <w:jc w:val="both"/>
        <w:rPr>
          <w:bCs/>
          <w:sz w:val="26"/>
          <w:szCs w:val="26"/>
        </w:rPr>
      </w:pPr>
      <w:r w:rsidRPr="00C1305E">
        <w:rPr>
          <w:bCs/>
          <w:sz w:val="26"/>
          <w:szCs w:val="26"/>
        </w:rPr>
        <w:t>5.2.  Дотримуватись умов, зазначених у висновках відповідних служб;</w:t>
      </w:r>
    </w:p>
    <w:p w:rsidR="000E51B7" w:rsidRPr="00C1305E" w:rsidRDefault="000E51B7" w:rsidP="000E51B7">
      <w:pPr>
        <w:jc w:val="both"/>
        <w:rPr>
          <w:bCs/>
          <w:sz w:val="26"/>
          <w:szCs w:val="26"/>
        </w:rPr>
      </w:pPr>
      <w:r w:rsidRPr="00C1305E">
        <w:rPr>
          <w:bCs/>
          <w:sz w:val="26"/>
          <w:szCs w:val="26"/>
        </w:rPr>
        <w:t>5.3. При проектуванні і здійсненні будівництва об’єктів містобудування дотримуватися містобудівних умов і обмежень забудови земельної ділянки;</w:t>
      </w:r>
    </w:p>
    <w:p w:rsidR="000E51B7" w:rsidRPr="00C1305E" w:rsidRDefault="000E51B7" w:rsidP="000E51B7">
      <w:pPr>
        <w:tabs>
          <w:tab w:val="left" w:pos="0"/>
        </w:tabs>
        <w:jc w:val="both"/>
        <w:rPr>
          <w:bCs/>
          <w:sz w:val="26"/>
          <w:szCs w:val="26"/>
        </w:rPr>
      </w:pPr>
      <w:r w:rsidRPr="00C1305E">
        <w:rPr>
          <w:bCs/>
          <w:sz w:val="26"/>
          <w:szCs w:val="26"/>
        </w:rPr>
        <w:t>5.4.  Без права забудови в межах червоної лінії вулиць;</w:t>
      </w:r>
    </w:p>
    <w:p w:rsidR="000E51B7" w:rsidRPr="00C1305E" w:rsidRDefault="000E51B7" w:rsidP="000E51B7">
      <w:pPr>
        <w:tabs>
          <w:tab w:val="left" w:pos="0"/>
        </w:tabs>
        <w:jc w:val="both"/>
        <w:rPr>
          <w:bCs/>
          <w:sz w:val="26"/>
          <w:szCs w:val="26"/>
        </w:rPr>
      </w:pPr>
      <w:r w:rsidRPr="00C1305E">
        <w:rPr>
          <w:bCs/>
          <w:sz w:val="26"/>
          <w:szCs w:val="26"/>
        </w:rPr>
        <w:t>5.5.  Без права забудови в межах проходження обмежень;</w:t>
      </w:r>
    </w:p>
    <w:p w:rsidR="000E51B7" w:rsidRDefault="000E51B7" w:rsidP="000E51B7">
      <w:pPr>
        <w:pStyle w:val="a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1305E">
        <w:rPr>
          <w:rFonts w:ascii="Times New Roman" w:hAnsi="Times New Roman" w:cs="Times New Roman"/>
          <w:sz w:val="26"/>
          <w:szCs w:val="26"/>
          <w:lang w:val="uk-UA"/>
        </w:rPr>
        <w:t>5.6. Дотримуватись встановлених законодавством правил землекористування та добросусідства.</w:t>
      </w:r>
    </w:p>
    <w:p w:rsidR="000E51B7" w:rsidRDefault="000E51B7" w:rsidP="000E51B7">
      <w:pPr>
        <w:pStyle w:val="a3"/>
        <w:ind w:firstLine="540"/>
        <w:jc w:val="both"/>
        <w:rPr>
          <w:rFonts w:ascii="Times New Roman" w:hAnsi="Times New Roman" w:cs="Times New Roman"/>
          <w:lang w:val="uk-UA"/>
        </w:rPr>
      </w:pPr>
    </w:p>
    <w:p w:rsidR="000E51B7" w:rsidRDefault="000E51B7" w:rsidP="000E51B7">
      <w:pPr>
        <w:pStyle w:val="a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1305E">
        <w:rPr>
          <w:rFonts w:ascii="Times New Roman" w:hAnsi="Times New Roman" w:cs="Times New Roman"/>
          <w:sz w:val="26"/>
          <w:szCs w:val="26"/>
          <w:lang w:val="uk-UA"/>
        </w:rPr>
        <w:t xml:space="preserve">6.   Умови відведення: оренда – </w:t>
      </w:r>
      <w:r>
        <w:rPr>
          <w:rFonts w:ascii="Times New Roman" w:hAnsi="Times New Roman" w:cs="Times New Roman"/>
          <w:sz w:val="26"/>
          <w:szCs w:val="26"/>
          <w:lang w:val="uk-UA"/>
        </w:rPr>
        <w:t>2</w:t>
      </w:r>
      <w:r w:rsidRPr="00C1305E">
        <w:rPr>
          <w:rFonts w:ascii="Times New Roman" w:hAnsi="Times New Roman" w:cs="Times New Roman"/>
          <w:sz w:val="26"/>
          <w:szCs w:val="26"/>
          <w:lang w:val="uk-UA"/>
        </w:rPr>
        <w:t>0,</w:t>
      </w:r>
      <w:r>
        <w:rPr>
          <w:rFonts w:ascii="Times New Roman" w:hAnsi="Times New Roman" w:cs="Times New Roman"/>
          <w:sz w:val="26"/>
          <w:szCs w:val="26"/>
          <w:lang w:val="uk-UA"/>
        </w:rPr>
        <w:t>00</w:t>
      </w:r>
      <w:r w:rsidRPr="00C1305E">
        <w:rPr>
          <w:rFonts w:ascii="Times New Roman" w:hAnsi="Times New Roman" w:cs="Times New Roman"/>
          <w:sz w:val="26"/>
          <w:szCs w:val="26"/>
          <w:lang w:val="uk-UA"/>
        </w:rPr>
        <w:t xml:space="preserve">00га. </w:t>
      </w:r>
    </w:p>
    <w:p w:rsidR="000E51B7" w:rsidRPr="000E51B7" w:rsidRDefault="000E51B7" w:rsidP="000E51B7">
      <w:pPr>
        <w:pStyle w:val="a3"/>
        <w:ind w:firstLine="540"/>
        <w:jc w:val="both"/>
        <w:rPr>
          <w:rFonts w:ascii="Times New Roman" w:hAnsi="Times New Roman" w:cs="Times New Roman"/>
          <w:lang w:val="uk-UA"/>
        </w:rPr>
      </w:pPr>
    </w:p>
    <w:p w:rsidR="000E51B7" w:rsidRDefault="000E51B7" w:rsidP="000E51B7">
      <w:pPr>
        <w:pStyle w:val="a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1305E">
        <w:rPr>
          <w:rFonts w:ascii="Times New Roman" w:hAnsi="Times New Roman" w:cs="Times New Roman"/>
          <w:sz w:val="26"/>
          <w:szCs w:val="26"/>
          <w:lang w:val="uk-UA"/>
        </w:rPr>
        <w:t>7.   Нормативно грошова оцінка земельної ділянки – 2</w:t>
      </w:r>
      <w:r>
        <w:rPr>
          <w:rFonts w:ascii="Times New Roman" w:hAnsi="Times New Roman" w:cs="Times New Roman"/>
          <w:sz w:val="26"/>
          <w:szCs w:val="26"/>
          <w:lang w:val="uk-UA"/>
        </w:rPr>
        <w:t>31</w:t>
      </w:r>
      <w:r w:rsidRPr="00C1305E">
        <w:rPr>
          <w:rFonts w:ascii="Times New Roman" w:hAnsi="Times New Roman" w:cs="Times New Roman"/>
          <w:sz w:val="26"/>
          <w:szCs w:val="26"/>
          <w:lang w:val="uk-UA"/>
        </w:rPr>
        <w:t>,</w:t>
      </w:r>
      <w:r>
        <w:rPr>
          <w:rFonts w:ascii="Times New Roman" w:hAnsi="Times New Roman" w:cs="Times New Roman"/>
          <w:sz w:val="26"/>
          <w:szCs w:val="26"/>
          <w:lang w:val="uk-UA"/>
        </w:rPr>
        <w:t>88</w:t>
      </w:r>
      <w:r w:rsidRPr="00C1305E">
        <w:rPr>
          <w:rFonts w:ascii="Times New Roman" w:hAnsi="Times New Roman" w:cs="Times New Roman"/>
          <w:sz w:val="26"/>
          <w:szCs w:val="26"/>
          <w:lang w:val="uk-UA"/>
        </w:rPr>
        <w:t xml:space="preserve"> грн./1м.кв.</w:t>
      </w:r>
    </w:p>
    <w:p w:rsidR="000E51B7" w:rsidRPr="000E51B7" w:rsidRDefault="000E51B7" w:rsidP="000E51B7">
      <w:pPr>
        <w:pStyle w:val="a3"/>
        <w:ind w:firstLine="540"/>
        <w:jc w:val="both"/>
        <w:rPr>
          <w:rFonts w:ascii="Times New Roman" w:hAnsi="Times New Roman" w:cs="Times New Roman"/>
          <w:lang w:val="uk-UA"/>
        </w:rPr>
      </w:pPr>
    </w:p>
    <w:p w:rsidR="000E51B7" w:rsidRDefault="000E51B7" w:rsidP="000E51B7">
      <w:pPr>
        <w:pStyle w:val="a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1305E">
        <w:rPr>
          <w:rFonts w:ascii="Times New Roman" w:hAnsi="Times New Roman" w:cs="Times New Roman"/>
          <w:sz w:val="26"/>
          <w:szCs w:val="26"/>
          <w:lang w:val="uk-UA"/>
        </w:rPr>
        <w:t>8.   Термін оренди – 5 років.</w:t>
      </w:r>
    </w:p>
    <w:p w:rsidR="000E51B7" w:rsidRPr="000E51B7" w:rsidRDefault="000E51B7" w:rsidP="000E51B7">
      <w:pPr>
        <w:pStyle w:val="a3"/>
        <w:ind w:firstLine="540"/>
        <w:jc w:val="both"/>
        <w:rPr>
          <w:rFonts w:ascii="Times New Roman" w:hAnsi="Times New Roman" w:cs="Times New Roman"/>
          <w:lang w:val="uk-UA"/>
        </w:rPr>
      </w:pPr>
    </w:p>
    <w:p w:rsidR="000E51B7" w:rsidRDefault="000E51B7" w:rsidP="000E51B7">
      <w:pPr>
        <w:pStyle w:val="a3"/>
        <w:tabs>
          <w:tab w:val="left" w:pos="6705"/>
        </w:tabs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1305E">
        <w:rPr>
          <w:rFonts w:ascii="Times New Roman" w:hAnsi="Times New Roman" w:cs="Times New Roman"/>
          <w:sz w:val="26"/>
          <w:szCs w:val="26"/>
          <w:lang w:val="uk-UA"/>
        </w:rPr>
        <w:t xml:space="preserve">9.   Стартова ціна лоту (у розмірі річної орендної плати) –  </w:t>
      </w:r>
      <w:r w:rsidR="00D204F8" w:rsidRPr="00D204F8">
        <w:rPr>
          <w:rFonts w:ascii="Times New Roman" w:hAnsi="Times New Roman" w:cs="Times New Roman"/>
          <w:sz w:val="26"/>
          <w:szCs w:val="26"/>
          <w:lang w:val="uk-UA"/>
        </w:rPr>
        <w:t>1 391 280</w:t>
      </w:r>
      <w:r w:rsidR="00D204F8" w:rsidRPr="00616C30">
        <w:rPr>
          <w:lang w:val="uk-UA"/>
        </w:rPr>
        <w:t>,</w:t>
      </w:r>
      <w:r w:rsidR="00D204F8">
        <w:rPr>
          <w:lang w:val="uk-UA"/>
        </w:rPr>
        <w:t xml:space="preserve">00 </w:t>
      </w:r>
      <w:r w:rsidRPr="00C1305E">
        <w:rPr>
          <w:rFonts w:ascii="Times New Roman" w:hAnsi="Times New Roman" w:cs="Times New Roman"/>
          <w:sz w:val="26"/>
          <w:szCs w:val="26"/>
          <w:lang w:val="uk-UA"/>
        </w:rPr>
        <w:t>грн.</w:t>
      </w:r>
    </w:p>
    <w:p w:rsidR="000E51B7" w:rsidRPr="000E51B7" w:rsidRDefault="000E51B7" w:rsidP="000E51B7">
      <w:pPr>
        <w:pStyle w:val="a3"/>
        <w:tabs>
          <w:tab w:val="left" w:pos="6705"/>
        </w:tabs>
        <w:ind w:firstLine="540"/>
        <w:jc w:val="both"/>
        <w:rPr>
          <w:rFonts w:ascii="Times New Roman" w:hAnsi="Times New Roman" w:cs="Times New Roman"/>
          <w:lang w:val="uk-UA"/>
        </w:rPr>
      </w:pPr>
    </w:p>
    <w:p w:rsidR="000E51B7" w:rsidRDefault="000E51B7" w:rsidP="000E51B7">
      <w:pPr>
        <w:pStyle w:val="a3"/>
        <w:tabs>
          <w:tab w:val="left" w:pos="6705"/>
        </w:tabs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1305E">
        <w:rPr>
          <w:rFonts w:ascii="Times New Roman" w:hAnsi="Times New Roman" w:cs="Times New Roman"/>
          <w:sz w:val="26"/>
          <w:szCs w:val="26"/>
          <w:lang w:val="uk-UA"/>
        </w:rPr>
        <w:t>10.  Використовувати земельну ділянку після укладання договору оренди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землі </w:t>
      </w:r>
      <w:r w:rsidRPr="00C1305E">
        <w:rPr>
          <w:rFonts w:ascii="Times New Roman" w:hAnsi="Times New Roman" w:cs="Times New Roman"/>
          <w:sz w:val="26"/>
          <w:szCs w:val="26"/>
          <w:lang w:val="uk-UA"/>
        </w:rPr>
        <w:t>та державної реєстрації.</w:t>
      </w:r>
    </w:p>
    <w:p w:rsidR="000E51B7" w:rsidRPr="000E51B7" w:rsidRDefault="000E51B7" w:rsidP="000E51B7">
      <w:pPr>
        <w:pStyle w:val="a3"/>
        <w:tabs>
          <w:tab w:val="left" w:pos="6705"/>
        </w:tabs>
        <w:ind w:firstLine="540"/>
        <w:jc w:val="both"/>
        <w:rPr>
          <w:rFonts w:ascii="Times New Roman" w:hAnsi="Times New Roman" w:cs="Times New Roman"/>
          <w:lang w:val="uk-UA"/>
        </w:rPr>
      </w:pPr>
    </w:p>
    <w:p w:rsidR="000E51B7" w:rsidRPr="00C1305E" w:rsidRDefault="000E51B7" w:rsidP="000E51B7">
      <w:pPr>
        <w:ind w:right="45"/>
        <w:jc w:val="both"/>
        <w:rPr>
          <w:sz w:val="26"/>
          <w:szCs w:val="26"/>
        </w:rPr>
      </w:pPr>
      <w:r w:rsidRPr="00C1305E">
        <w:rPr>
          <w:sz w:val="26"/>
          <w:szCs w:val="26"/>
        </w:rPr>
        <w:t xml:space="preserve">11.  Земельна ділянка відповідно до містобудівної документації «Коригування Генерального плану міста Чернівці» розташована в </w:t>
      </w:r>
      <w:r>
        <w:rPr>
          <w:sz w:val="26"/>
          <w:szCs w:val="26"/>
        </w:rPr>
        <w:t xml:space="preserve">межах території підприємств сільгоспвиробництва </w:t>
      </w:r>
      <w:r w:rsidRPr="00C1305E">
        <w:rPr>
          <w:sz w:val="26"/>
          <w:szCs w:val="26"/>
        </w:rPr>
        <w:t>(</w:t>
      </w:r>
      <w:r>
        <w:rPr>
          <w:sz w:val="26"/>
          <w:szCs w:val="26"/>
        </w:rPr>
        <w:t xml:space="preserve">СВ-2 - </w:t>
      </w:r>
      <w:r w:rsidRPr="00C1305E">
        <w:rPr>
          <w:sz w:val="26"/>
          <w:szCs w:val="26"/>
        </w:rPr>
        <w:t xml:space="preserve">зона </w:t>
      </w:r>
      <w:r>
        <w:rPr>
          <w:sz w:val="26"/>
          <w:szCs w:val="26"/>
        </w:rPr>
        <w:t>земель сільськогосподарських підприємств. установ та організацій</w:t>
      </w:r>
      <w:r w:rsidRPr="00C1305E">
        <w:rPr>
          <w:sz w:val="26"/>
          <w:szCs w:val="26"/>
        </w:rPr>
        <w:t>):</w:t>
      </w:r>
    </w:p>
    <w:p w:rsidR="000E51B7" w:rsidRPr="002C5EDB" w:rsidRDefault="000E51B7" w:rsidP="000E51B7">
      <w:pPr>
        <w:ind w:right="45" w:hanging="540"/>
        <w:jc w:val="both"/>
        <w:rPr>
          <w:b/>
          <w:i/>
          <w:sz w:val="26"/>
          <w:szCs w:val="26"/>
        </w:rPr>
      </w:pPr>
      <w:r w:rsidRPr="00C1305E">
        <w:rPr>
          <w:sz w:val="26"/>
          <w:szCs w:val="26"/>
        </w:rPr>
        <w:t xml:space="preserve">         </w:t>
      </w:r>
      <w:r w:rsidRPr="00C1305E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 </w:t>
      </w:r>
      <w:r w:rsidRPr="002C5EDB">
        <w:rPr>
          <w:b/>
          <w:i/>
          <w:sz w:val="26"/>
          <w:szCs w:val="26"/>
        </w:rPr>
        <w:t>Містобудівні умови та обмеження:</w:t>
      </w:r>
    </w:p>
    <w:p w:rsidR="000E51B7" w:rsidRPr="002C5EDB" w:rsidRDefault="000E51B7" w:rsidP="000E51B7">
      <w:pPr>
        <w:ind w:right="45" w:firstLine="540"/>
        <w:jc w:val="both"/>
        <w:rPr>
          <w:b/>
          <w:sz w:val="26"/>
          <w:szCs w:val="26"/>
        </w:rPr>
      </w:pPr>
      <w:r>
        <w:rPr>
          <w:sz w:val="26"/>
          <w:szCs w:val="26"/>
        </w:rPr>
        <w:t>1. Г</w:t>
      </w:r>
      <w:r w:rsidRPr="00872170">
        <w:rPr>
          <w:sz w:val="26"/>
          <w:szCs w:val="26"/>
        </w:rPr>
        <w:t xml:space="preserve">ранично допустима висотність будинків, будівель та споруд – </w:t>
      </w:r>
      <w:r w:rsidRPr="002C5EDB">
        <w:rPr>
          <w:b/>
          <w:sz w:val="26"/>
          <w:szCs w:val="26"/>
        </w:rPr>
        <w:t>12 метрів (ЕКО-2).</w:t>
      </w:r>
    </w:p>
    <w:p w:rsidR="000E51B7" w:rsidRPr="00872170" w:rsidRDefault="000E51B7" w:rsidP="000E51B7">
      <w:pPr>
        <w:ind w:right="45"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Максимальний допустимий відсоток забудови земельної ділянки </w:t>
      </w:r>
      <w:r w:rsidRPr="00872170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 </w:t>
      </w:r>
      <w:r w:rsidRPr="002C5EDB">
        <w:rPr>
          <w:b/>
          <w:sz w:val="26"/>
          <w:szCs w:val="26"/>
        </w:rPr>
        <w:t>45%</w:t>
      </w:r>
      <w:r>
        <w:rPr>
          <w:sz w:val="26"/>
          <w:szCs w:val="26"/>
        </w:rPr>
        <w:t>.</w:t>
      </w:r>
    </w:p>
    <w:p w:rsidR="000E51B7" w:rsidRDefault="000E51B7" w:rsidP="000E51B7">
      <w:pPr>
        <w:ind w:right="45"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3. Максимальний допустима щільність населення в межах житлової забудови відповідної житлової одиниці (кварталу, мікрорайону) – </w:t>
      </w:r>
      <w:r w:rsidRPr="002C5EDB">
        <w:rPr>
          <w:b/>
          <w:sz w:val="26"/>
          <w:szCs w:val="26"/>
        </w:rPr>
        <w:t>не встановлюється</w:t>
      </w:r>
      <w:r>
        <w:rPr>
          <w:sz w:val="26"/>
          <w:szCs w:val="26"/>
        </w:rPr>
        <w:t>.</w:t>
      </w:r>
    </w:p>
    <w:p w:rsidR="000E51B7" w:rsidRPr="00C224F0" w:rsidRDefault="000E51B7" w:rsidP="000E51B7">
      <w:pPr>
        <w:pStyle w:val="HTML"/>
        <w:shd w:val="clear" w:color="auto" w:fill="FFFFFF"/>
        <w:jc w:val="both"/>
        <w:textAlignment w:val="baseline"/>
        <w:rPr>
          <w:b/>
          <w:sz w:val="28"/>
          <w:szCs w:val="28"/>
          <w:u w:val="single"/>
          <w:shd w:val="clear" w:color="auto" w:fill="FFFFFF"/>
        </w:rPr>
      </w:pPr>
      <w:r>
        <w:t xml:space="preserve">    </w:t>
      </w:r>
      <w:r w:rsidRPr="00AA50C3">
        <w:rPr>
          <w:rFonts w:ascii="Times New Roman" w:hAnsi="Times New Roman" w:cs="Times New Roman"/>
          <w:sz w:val="26"/>
          <w:szCs w:val="26"/>
        </w:rPr>
        <w:t>4. М</w:t>
      </w:r>
      <w:r w:rsidRPr="00AA50C3">
        <w:rPr>
          <w:rFonts w:ascii="Times New Roman" w:hAnsi="Times New Roman" w:cs="Times New Roman"/>
          <w:sz w:val="26"/>
          <w:szCs w:val="26"/>
          <w:lang w:eastAsia="uk-UA"/>
        </w:rPr>
        <w:t xml:space="preserve">інімально допустимі відстані від об’єкта, що проектується, до червоних ліній, ліній регулювання забудови, існуючих будинків та споруд - </w:t>
      </w:r>
      <w:r w:rsidRPr="00AA50C3">
        <w:rPr>
          <w:rFonts w:ascii="Times New Roman" w:hAnsi="Times New Roman" w:cs="Times New Roman"/>
          <w:b/>
          <w:sz w:val="26"/>
          <w:szCs w:val="26"/>
        </w:rPr>
        <w:t xml:space="preserve">Відстані від об’єкта містобудування </w:t>
      </w:r>
      <w:r w:rsidRPr="00AA50C3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AA50C3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AA50C3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AA50C3">
        <w:rPr>
          <w:rFonts w:ascii="Times New Roman" w:hAnsi="Times New Roman" w:cs="Times New Roman"/>
          <w:b/>
          <w:sz w:val="26"/>
          <w:szCs w:val="26"/>
        </w:rPr>
        <w:t xml:space="preserve"> ступенів вогнестійкості до існуючих об’єктів  </w:t>
      </w:r>
      <w:r w:rsidRPr="00AA50C3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AA50C3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AA50C3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AA50C3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AA50C3"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AA50C3">
        <w:rPr>
          <w:rFonts w:ascii="Times New Roman" w:hAnsi="Times New Roman" w:cs="Times New Roman"/>
          <w:b/>
          <w:sz w:val="26"/>
          <w:szCs w:val="26"/>
        </w:rPr>
        <w:t xml:space="preserve">ступеня вогнестійкості будинків передбачити - 9м і 12м до існуючих об’єктів  </w:t>
      </w:r>
      <w:r w:rsidRPr="00AA50C3"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 w:rsidRPr="00AA50C3">
        <w:rPr>
          <w:rFonts w:ascii="Times New Roman" w:hAnsi="Times New Roman" w:cs="Times New Roman"/>
          <w:b/>
          <w:sz w:val="26"/>
          <w:szCs w:val="26"/>
        </w:rPr>
        <w:t xml:space="preserve">а, </w:t>
      </w:r>
      <w:r w:rsidRPr="00AA50C3"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 w:rsidRPr="00AA50C3">
        <w:rPr>
          <w:rFonts w:ascii="Times New Roman" w:hAnsi="Times New Roman" w:cs="Times New Roman"/>
          <w:b/>
          <w:sz w:val="26"/>
          <w:szCs w:val="26"/>
        </w:rPr>
        <w:t>б,</w:t>
      </w:r>
      <w:r w:rsidRPr="00AA50C3">
        <w:rPr>
          <w:rFonts w:ascii="Times New Roman" w:hAnsi="Times New Roman" w:cs="Times New Roman"/>
          <w:b/>
          <w:sz w:val="26"/>
          <w:szCs w:val="26"/>
          <w:lang w:val="en-US"/>
        </w:rPr>
        <w:t>IV</w:t>
      </w:r>
      <w:r w:rsidRPr="00AA50C3">
        <w:rPr>
          <w:rFonts w:ascii="Times New Roman" w:hAnsi="Times New Roman" w:cs="Times New Roman"/>
          <w:b/>
          <w:sz w:val="26"/>
          <w:szCs w:val="26"/>
        </w:rPr>
        <w:t>,</w:t>
      </w:r>
      <w:r w:rsidRPr="00AA50C3">
        <w:rPr>
          <w:rFonts w:ascii="Times New Roman" w:hAnsi="Times New Roman" w:cs="Times New Roman"/>
          <w:b/>
          <w:sz w:val="26"/>
          <w:szCs w:val="26"/>
          <w:lang w:val="en-US"/>
        </w:rPr>
        <w:t>IV</w:t>
      </w:r>
      <w:r w:rsidRPr="00AA50C3">
        <w:rPr>
          <w:rFonts w:ascii="Times New Roman" w:hAnsi="Times New Roman" w:cs="Times New Roman"/>
          <w:b/>
          <w:sz w:val="26"/>
          <w:szCs w:val="26"/>
        </w:rPr>
        <w:t>а,</w:t>
      </w:r>
      <w:r w:rsidRPr="00AA50C3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Pr="00AA50C3">
        <w:rPr>
          <w:rFonts w:ascii="Times New Roman" w:hAnsi="Times New Roman" w:cs="Times New Roman"/>
          <w:b/>
          <w:sz w:val="26"/>
          <w:szCs w:val="26"/>
        </w:rPr>
        <w:t xml:space="preserve"> ступенів вогнестійкості будинків. Від </w:t>
      </w:r>
      <w:r w:rsidRPr="00AA50C3"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 w:rsidRPr="00AA50C3">
        <w:rPr>
          <w:rFonts w:ascii="Times New Roman" w:hAnsi="Times New Roman" w:cs="Times New Roman"/>
          <w:b/>
          <w:sz w:val="26"/>
          <w:szCs w:val="26"/>
        </w:rPr>
        <w:t xml:space="preserve"> ступені вогнестійкості до існуючих об’єктів </w:t>
      </w:r>
      <w:r w:rsidRPr="00AA50C3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AA50C3">
        <w:rPr>
          <w:rFonts w:ascii="Times New Roman" w:hAnsi="Times New Roman" w:cs="Times New Roman"/>
          <w:b/>
          <w:sz w:val="26"/>
          <w:szCs w:val="26"/>
        </w:rPr>
        <w:t>,</w:t>
      </w:r>
      <w:r w:rsidRPr="00AA50C3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AA50C3">
        <w:rPr>
          <w:rFonts w:ascii="Times New Roman" w:hAnsi="Times New Roman" w:cs="Times New Roman"/>
          <w:b/>
          <w:sz w:val="26"/>
          <w:szCs w:val="26"/>
        </w:rPr>
        <w:t>, ступенів вогнестійкості будинків - 9м, 12м до існуючих об’єктів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AA50C3"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 w:rsidRPr="00AA50C3">
        <w:rPr>
          <w:rFonts w:ascii="Times New Roman" w:hAnsi="Times New Roman" w:cs="Times New Roman"/>
          <w:b/>
          <w:sz w:val="26"/>
          <w:szCs w:val="26"/>
        </w:rPr>
        <w:t xml:space="preserve"> ступеня вогнестійкості та 15м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AA50C3">
        <w:rPr>
          <w:rFonts w:ascii="Times New Roman" w:hAnsi="Times New Roman" w:cs="Times New Roman"/>
          <w:b/>
          <w:sz w:val="26"/>
          <w:szCs w:val="26"/>
        </w:rPr>
        <w:t xml:space="preserve">до існуючих об’єктів  </w:t>
      </w:r>
      <w:r w:rsidRPr="00AA50C3"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 w:rsidRPr="00AA50C3">
        <w:rPr>
          <w:rFonts w:ascii="Times New Roman" w:hAnsi="Times New Roman" w:cs="Times New Roman"/>
          <w:b/>
          <w:sz w:val="26"/>
          <w:szCs w:val="26"/>
        </w:rPr>
        <w:t xml:space="preserve">а, </w:t>
      </w:r>
      <w:r w:rsidRPr="00AA50C3"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 w:rsidRPr="00AA50C3">
        <w:rPr>
          <w:rFonts w:ascii="Times New Roman" w:hAnsi="Times New Roman" w:cs="Times New Roman"/>
          <w:b/>
          <w:sz w:val="26"/>
          <w:szCs w:val="26"/>
        </w:rPr>
        <w:t xml:space="preserve">б, </w:t>
      </w:r>
      <w:r w:rsidRPr="00AA50C3">
        <w:rPr>
          <w:rFonts w:ascii="Times New Roman" w:hAnsi="Times New Roman" w:cs="Times New Roman"/>
          <w:b/>
          <w:sz w:val="26"/>
          <w:szCs w:val="26"/>
          <w:lang w:val="en-US"/>
        </w:rPr>
        <w:t>IV</w:t>
      </w:r>
      <w:r w:rsidRPr="00AA50C3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AA50C3">
        <w:rPr>
          <w:rFonts w:ascii="Times New Roman" w:hAnsi="Times New Roman" w:cs="Times New Roman"/>
          <w:b/>
          <w:sz w:val="26"/>
          <w:szCs w:val="26"/>
          <w:lang w:val="en-US"/>
        </w:rPr>
        <w:t>IV</w:t>
      </w:r>
      <w:r w:rsidRPr="00AA50C3">
        <w:rPr>
          <w:rFonts w:ascii="Times New Roman" w:hAnsi="Times New Roman" w:cs="Times New Roman"/>
          <w:b/>
          <w:sz w:val="26"/>
          <w:szCs w:val="26"/>
        </w:rPr>
        <w:t>а,</w:t>
      </w:r>
      <w:r w:rsidRPr="00AA50C3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Pr="00AA50C3">
        <w:rPr>
          <w:rFonts w:ascii="Times New Roman" w:hAnsi="Times New Roman" w:cs="Times New Roman"/>
          <w:b/>
          <w:sz w:val="26"/>
          <w:szCs w:val="26"/>
        </w:rPr>
        <w:t xml:space="preserve"> ступенів вогнестійкості будинків. Від  </w:t>
      </w:r>
      <w:r w:rsidRPr="00AA50C3"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 w:rsidRPr="00AA50C3">
        <w:rPr>
          <w:rFonts w:ascii="Times New Roman" w:hAnsi="Times New Roman" w:cs="Times New Roman"/>
          <w:b/>
          <w:sz w:val="26"/>
          <w:szCs w:val="26"/>
        </w:rPr>
        <w:t xml:space="preserve">а, </w:t>
      </w:r>
      <w:r w:rsidRPr="00AA50C3"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 w:rsidRPr="00AA50C3">
        <w:rPr>
          <w:rFonts w:ascii="Times New Roman" w:hAnsi="Times New Roman" w:cs="Times New Roman"/>
          <w:b/>
          <w:sz w:val="26"/>
          <w:szCs w:val="26"/>
        </w:rPr>
        <w:t xml:space="preserve">б, </w:t>
      </w:r>
      <w:r w:rsidRPr="00AA50C3">
        <w:rPr>
          <w:rFonts w:ascii="Times New Roman" w:hAnsi="Times New Roman" w:cs="Times New Roman"/>
          <w:b/>
          <w:sz w:val="26"/>
          <w:szCs w:val="26"/>
          <w:lang w:val="en-US"/>
        </w:rPr>
        <w:t>IV</w:t>
      </w:r>
      <w:r w:rsidRPr="00AA50C3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AA50C3">
        <w:rPr>
          <w:rFonts w:ascii="Times New Roman" w:hAnsi="Times New Roman" w:cs="Times New Roman"/>
          <w:b/>
          <w:sz w:val="26"/>
          <w:szCs w:val="26"/>
          <w:lang w:val="en-US"/>
        </w:rPr>
        <w:t>IV</w:t>
      </w:r>
      <w:r w:rsidRPr="00AA50C3">
        <w:rPr>
          <w:rFonts w:ascii="Times New Roman" w:hAnsi="Times New Roman" w:cs="Times New Roman"/>
          <w:b/>
          <w:sz w:val="26"/>
          <w:szCs w:val="26"/>
        </w:rPr>
        <w:t>а,</w:t>
      </w:r>
      <w:r w:rsidRPr="00AA50C3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Pr="00AA50C3">
        <w:rPr>
          <w:rFonts w:ascii="Times New Roman" w:hAnsi="Times New Roman" w:cs="Times New Roman"/>
          <w:b/>
          <w:sz w:val="26"/>
          <w:szCs w:val="26"/>
        </w:rPr>
        <w:t xml:space="preserve"> ступенів вогнестійкості до існуючих об’єктів </w:t>
      </w:r>
      <w:r w:rsidRPr="00AA50C3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AA50C3">
        <w:rPr>
          <w:rFonts w:ascii="Times New Roman" w:hAnsi="Times New Roman" w:cs="Times New Roman"/>
          <w:b/>
          <w:sz w:val="26"/>
          <w:szCs w:val="26"/>
        </w:rPr>
        <w:t>,</w:t>
      </w:r>
      <w:r w:rsidRPr="00AA50C3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AA50C3">
        <w:rPr>
          <w:rFonts w:ascii="Times New Roman" w:hAnsi="Times New Roman" w:cs="Times New Roman"/>
          <w:b/>
          <w:sz w:val="26"/>
          <w:szCs w:val="26"/>
        </w:rPr>
        <w:t xml:space="preserve">, ступенів вогнестійкості будинків - 12м, до існуючих об’єктів  </w:t>
      </w:r>
      <w:r w:rsidRPr="00AA50C3"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 w:rsidRPr="00AA50C3">
        <w:rPr>
          <w:rFonts w:ascii="Times New Roman" w:hAnsi="Times New Roman" w:cs="Times New Roman"/>
          <w:b/>
          <w:sz w:val="26"/>
          <w:szCs w:val="26"/>
        </w:rPr>
        <w:t xml:space="preserve"> ступеня вогнестійкості -15м та  18м до існуючих об’єктів  </w:t>
      </w:r>
      <w:r w:rsidRPr="00AA50C3"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 w:rsidRPr="00AA50C3">
        <w:rPr>
          <w:rFonts w:ascii="Times New Roman" w:hAnsi="Times New Roman" w:cs="Times New Roman"/>
          <w:b/>
          <w:sz w:val="26"/>
          <w:szCs w:val="26"/>
        </w:rPr>
        <w:t xml:space="preserve">а, </w:t>
      </w:r>
      <w:r w:rsidRPr="00AA50C3"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 w:rsidRPr="00AA50C3">
        <w:rPr>
          <w:rFonts w:ascii="Times New Roman" w:hAnsi="Times New Roman" w:cs="Times New Roman"/>
          <w:b/>
          <w:sz w:val="26"/>
          <w:szCs w:val="26"/>
        </w:rPr>
        <w:t xml:space="preserve">б, </w:t>
      </w:r>
      <w:r w:rsidRPr="00AA50C3">
        <w:rPr>
          <w:rFonts w:ascii="Times New Roman" w:hAnsi="Times New Roman" w:cs="Times New Roman"/>
          <w:b/>
          <w:sz w:val="26"/>
          <w:szCs w:val="26"/>
          <w:lang w:val="en-US"/>
        </w:rPr>
        <w:t>IV</w:t>
      </w:r>
      <w:r w:rsidRPr="00AA50C3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AA50C3">
        <w:rPr>
          <w:rFonts w:ascii="Times New Roman" w:hAnsi="Times New Roman" w:cs="Times New Roman"/>
          <w:b/>
          <w:sz w:val="26"/>
          <w:szCs w:val="26"/>
          <w:lang w:val="en-US"/>
        </w:rPr>
        <w:t>IV</w:t>
      </w:r>
      <w:r w:rsidRPr="00AA50C3">
        <w:rPr>
          <w:rFonts w:ascii="Times New Roman" w:hAnsi="Times New Roman" w:cs="Times New Roman"/>
          <w:b/>
          <w:sz w:val="26"/>
          <w:szCs w:val="26"/>
        </w:rPr>
        <w:t>а,</w:t>
      </w:r>
      <w:r w:rsidRPr="00AA50C3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Pr="00AA50C3">
        <w:rPr>
          <w:rFonts w:ascii="Times New Roman" w:hAnsi="Times New Roman" w:cs="Times New Roman"/>
          <w:b/>
          <w:sz w:val="26"/>
          <w:szCs w:val="26"/>
        </w:rPr>
        <w:t xml:space="preserve"> ступенів вогнестійкості будинків.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AA50C3">
        <w:rPr>
          <w:rFonts w:ascii="Times New Roman" w:hAnsi="Times New Roman" w:cs="Times New Roman"/>
          <w:b/>
          <w:sz w:val="26"/>
          <w:szCs w:val="26"/>
          <w:lang w:val="uk-UA"/>
        </w:rPr>
        <w:t>Ступінь вогнестійкості будинків визначити у відповідності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AA50C3">
        <w:rPr>
          <w:rFonts w:ascii="Times New Roman" w:hAnsi="Times New Roman" w:cs="Times New Roman"/>
          <w:b/>
          <w:sz w:val="26"/>
          <w:szCs w:val="26"/>
          <w:lang w:val="uk-UA"/>
        </w:rPr>
        <w:t xml:space="preserve">з вимогами табл.1ДБН В.1.1-7-2016 «Пожежна безпека об’єктів будівництва». </w:t>
      </w:r>
      <w:r w:rsidRPr="00AA50C3">
        <w:rPr>
          <w:rFonts w:ascii="Times New Roman" w:hAnsi="Times New Roman" w:cs="Times New Roman"/>
          <w:b/>
          <w:sz w:val="26"/>
          <w:szCs w:val="26"/>
        </w:rPr>
        <w:t xml:space="preserve">При проектуванні врахувати вимоги СНиП ІІ-89-80 «Генеральні плани промислових підприємств», </w:t>
      </w:r>
      <w:r w:rsidR="00872B2A" w:rsidRPr="00872B2A">
        <w:rPr>
          <w:rFonts w:ascii="Times New Roman" w:hAnsi="Times New Roman" w:cs="Times New Roman"/>
          <w:b/>
          <w:sz w:val="26"/>
          <w:szCs w:val="26"/>
        </w:rPr>
        <w:t xml:space="preserve">                                 </w:t>
      </w:r>
      <w:r w:rsidRPr="00AA50C3">
        <w:rPr>
          <w:rFonts w:ascii="Times New Roman" w:hAnsi="Times New Roman" w:cs="Times New Roman"/>
          <w:b/>
          <w:sz w:val="26"/>
          <w:szCs w:val="26"/>
        </w:rPr>
        <w:t>ДБН 360-92**«Містобудування. Планування і забудова міських і сільських поселень», ДБН В.2.2-1-95 «Будинки і споруди. Будівлі і споруди для тваринництва»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.</w:t>
      </w:r>
    </w:p>
    <w:p w:rsidR="000E51B7" w:rsidRPr="00AA50C3" w:rsidRDefault="000E51B7" w:rsidP="000E51B7">
      <w:pPr>
        <w:ind w:firstLine="708"/>
        <w:jc w:val="both"/>
        <w:rPr>
          <w:b/>
          <w:color w:val="000000"/>
          <w:sz w:val="26"/>
          <w:szCs w:val="26"/>
          <w:shd w:val="clear" w:color="auto" w:fill="FFFFFF"/>
        </w:rPr>
      </w:pPr>
      <w:r w:rsidRPr="00AA50C3">
        <w:rPr>
          <w:color w:val="000000"/>
          <w:sz w:val="26"/>
          <w:szCs w:val="26"/>
        </w:rPr>
        <w:t>5. П</w:t>
      </w:r>
      <w:r w:rsidRPr="00AA50C3">
        <w:rPr>
          <w:color w:val="000000"/>
          <w:sz w:val="26"/>
          <w:szCs w:val="26"/>
          <w:lang w:eastAsia="uk-UA"/>
        </w:rPr>
        <w:t xml:space="preserve">ланувальні обмеження (охоронні зони пам’яток культурної спадщини, межі історичних ареалів, зони регулювання забудови, зони охоронюваного ландшафту, зони охорони археологічного культурного шару, в межах яких діє спеціальний режим їх використання, охоронні зони об’єктів природно-заповідного фонду, прибережні захисні смуги, зони санітарної охорони - </w:t>
      </w:r>
      <w:r w:rsidRPr="00AA50C3">
        <w:rPr>
          <w:b/>
          <w:sz w:val="26"/>
          <w:szCs w:val="26"/>
        </w:rPr>
        <w:t xml:space="preserve">за межами:  </w:t>
      </w:r>
      <w:r w:rsidRPr="00AA50C3">
        <w:rPr>
          <w:b/>
          <w:sz w:val="26"/>
          <w:szCs w:val="26"/>
          <w:lang w:eastAsia="uk-UA"/>
        </w:rPr>
        <w:t>охоронних зон пам’яток культурної спадщини, історичних ареалів, зони регулювання забудови, зони охоронюваного ландшафту, зони охорони археологічного культурного шару, прибережно захисної смуги. В межах зони санітарної охорони кладовища та в межах території зонування екологічного каркасу міста (підзона ЕКО-2)</w:t>
      </w:r>
    </w:p>
    <w:p w:rsidR="000E51B7" w:rsidRPr="00AA50C3" w:rsidRDefault="000E51B7" w:rsidP="000E51B7">
      <w:pPr>
        <w:pStyle w:val="HTML"/>
        <w:shd w:val="clear" w:color="auto" w:fill="FFFFFF"/>
        <w:jc w:val="both"/>
        <w:textAlignment w:val="baseline"/>
        <w:rPr>
          <w:lang w:eastAsia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AA50C3">
        <w:rPr>
          <w:rFonts w:ascii="Times New Roman" w:hAnsi="Times New Roman" w:cs="Times New Roman"/>
          <w:sz w:val="26"/>
          <w:szCs w:val="26"/>
          <w:lang w:val="uk-UA"/>
        </w:rPr>
        <w:t>6. О</w:t>
      </w:r>
      <w:r w:rsidRPr="00AA50C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хоронні зони об’єктів транспорту, зв’язку, інженерних комунікацій, відстані від об’єкта, що проектується, до існуючих інженерних мереж - </w:t>
      </w:r>
      <w:r w:rsidRPr="00AA50C3">
        <w:rPr>
          <w:rFonts w:ascii="Times New Roman" w:hAnsi="Times New Roman" w:cs="Times New Roman"/>
          <w:b/>
          <w:sz w:val="26"/>
          <w:szCs w:val="26"/>
          <w:lang w:val="uk-UA"/>
        </w:rPr>
        <w:t xml:space="preserve">охоронні зони об’єктів транспорту, зв’язку, інженерних комунікацій відсутні. </w:t>
      </w:r>
      <w:r w:rsidRPr="000E51B7">
        <w:rPr>
          <w:rFonts w:ascii="Times New Roman" w:hAnsi="Times New Roman" w:cs="Times New Roman"/>
          <w:b/>
          <w:sz w:val="26"/>
          <w:szCs w:val="26"/>
          <w:lang w:val="uk-UA"/>
        </w:rPr>
        <w:t>Відстані від об’єкта містобудування до існуючих інженерних мереж уточнити при виконанні топографо-геодезичної зйомки.</w:t>
      </w:r>
      <w:r w:rsidR="00872B2A" w:rsidRPr="00872B2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0E51B7">
        <w:rPr>
          <w:rFonts w:ascii="Times New Roman" w:hAnsi="Times New Roman" w:cs="Times New Roman"/>
          <w:b/>
          <w:sz w:val="26"/>
          <w:szCs w:val="26"/>
          <w:lang w:val="uk-UA"/>
        </w:rPr>
        <w:t xml:space="preserve">У разі виявлення підземних мереж відстані передбачити відповідно до табл.1, табл.2 додатку 8.1 ДБН 360-92** «Містобудування. </w:t>
      </w:r>
      <w:r w:rsidRPr="00AA50C3">
        <w:rPr>
          <w:rFonts w:ascii="Times New Roman" w:hAnsi="Times New Roman" w:cs="Times New Roman"/>
          <w:b/>
          <w:sz w:val="26"/>
          <w:szCs w:val="26"/>
        </w:rPr>
        <w:t>Планування і забудова міських і сільських поселень».</w:t>
      </w:r>
      <w:r w:rsidRPr="00AA50C3">
        <w:rPr>
          <w:rFonts w:cs="Times New Roman"/>
          <w:b/>
          <w:u w:val="single"/>
        </w:rPr>
        <w:t xml:space="preserve">                            </w:t>
      </w:r>
      <w:r w:rsidRPr="00AA50C3">
        <w:rPr>
          <w:rFonts w:cs="Times New Roman"/>
          <w:u w:val="single"/>
        </w:rPr>
        <w:t xml:space="preserve">                 </w:t>
      </w:r>
      <w:bookmarkStart w:id="1" w:name="o115"/>
      <w:bookmarkStart w:id="2" w:name="o136"/>
      <w:bookmarkEnd w:id="1"/>
      <w:bookmarkEnd w:id="2"/>
    </w:p>
    <w:p w:rsidR="000E51B7" w:rsidRPr="00AA50C3" w:rsidRDefault="000E51B7" w:rsidP="000E51B7">
      <w:pPr>
        <w:ind w:right="45" w:firstLine="540"/>
        <w:jc w:val="both"/>
        <w:rPr>
          <w:i/>
          <w:sz w:val="26"/>
          <w:szCs w:val="26"/>
          <w:highlight w:val="yellow"/>
        </w:rPr>
      </w:pPr>
    </w:p>
    <w:p w:rsidR="000E51B7" w:rsidRDefault="000E51B7" w:rsidP="000E51B7">
      <w:pPr>
        <w:ind w:right="45" w:firstLine="540"/>
        <w:jc w:val="both"/>
        <w:rPr>
          <w:i/>
          <w:sz w:val="26"/>
          <w:szCs w:val="26"/>
          <w:highlight w:val="yellow"/>
          <w:u w:val="single"/>
        </w:rPr>
      </w:pPr>
    </w:p>
    <w:p w:rsidR="000E51B7" w:rsidRPr="00C1305E" w:rsidRDefault="000E51B7" w:rsidP="000E51B7">
      <w:pPr>
        <w:jc w:val="both"/>
        <w:rPr>
          <w:b/>
          <w:bCs/>
          <w:sz w:val="26"/>
          <w:szCs w:val="26"/>
        </w:rPr>
      </w:pPr>
    </w:p>
    <w:p w:rsidR="000E51B7" w:rsidRPr="00324C63" w:rsidRDefault="000E51B7" w:rsidP="000E51B7">
      <w:pPr>
        <w:pStyle w:val="4"/>
        <w:rPr>
          <w:lang w:val="ru-RU"/>
        </w:rPr>
      </w:pPr>
      <w:r w:rsidRPr="00324C63">
        <w:t xml:space="preserve">Секретар Чернівецької міської ради                  </w:t>
      </w:r>
      <w:r w:rsidR="00697E9D">
        <w:t xml:space="preserve"> </w:t>
      </w:r>
      <w:r w:rsidRPr="00324C63">
        <w:t xml:space="preserve">                              В. Продан </w:t>
      </w:r>
    </w:p>
    <w:p w:rsidR="000E51B7" w:rsidRPr="00C1305E" w:rsidRDefault="000E51B7" w:rsidP="000E51B7">
      <w:pPr>
        <w:jc w:val="both"/>
        <w:rPr>
          <w:sz w:val="26"/>
          <w:szCs w:val="26"/>
          <w:lang w:val="ru-RU"/>
        </w:rPr>
      </w:pPr>
    </w:p>
    <w:p w:rsidR="000E51B7" w:rsidRDefault="000E51B7" w:rsidP="000E51B7">
      <w:pPr>
        <w:jc w:val="both"/>
        <w:rPr>
          <w:sz w:val="26"/>
          <w:szCs w:val="26"/>
          <w:lang w:val="ru-RU"/>
        </w:rPr>
      </w:pPr>
    </w:p>
    <w:p w:rsidR="000E51B7" w:rsidRDefault="000E51B7" w:rsidP="000E51B7">
      <w:pPr>
        <w:jc w:val="both"/>
        <w:rPr>
          <w:sz w:val="26"/>
          <w:szCs w:val="26"/>
          <w:lang w:val="ru-RU"/>
        </w:rPr>
      </w:pPr>
    </w:p>
    <w:p w:rsidR="000E51B7" w:rsidRDefault="000E51B7" w:rsidP="000E51B7">
      <w:pPr>
        <w:jc w:val="both"/>
        <w:rPr>
          <w:sz w:val="26"/>
          <w:szCs w:val="26"/>
          <w:lang w:val="ru-RU"/>
        </w:rPr>
      </w:pPr>
    </w:p>
    <w:sectPr w:rsidR="000E51B7" w:rsidSect="00BC363E">
      <w:headerReference w:type="even" r:id="rId7"/>
      <w:headerReference w:type="default" r:id="rId8"/>
      <w:pgSz w:w="11906" w:h="16838"/>
      <w:pgMar w:top="567" w:right="567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A97" w:rsidRDefault="00DD5A97">
      <w:r>
        <w:separator/>
      </w:r>
    </w:p>
  </w:endnote>
  <w:endnote w:type="continuationSeparator" w:id="0">
    <w:p w:rsidR="00DD5A97" w:rsidRDefault="00DD5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A97" w:rsidRDefault="00DD5A97">
      <w:r>
        <w:separator/>
      </w:r>
    </w:p>
  </w:footnote>
  <w:footnote w:type="continuationSeparator" w:id="0">
    <w:p w:rsidR="00DD5A97" w:rsidRDefault="00DD5A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63E" w:rsidRDefault="00BC363E" w:rsidP="009D61E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C363E" w:rsidRDefault="00BC363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63E" w:rsidRDefault="00BC363E" w:rsidP="009D61E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27E67">
      <w:rPr>
        <w:rStyle w:val="a6"/>
        <w:noProof/>
      </w:rPr>
      <w:t>2</w:t>
    </w:r>
    <w:r>
      <w:rPr>
        <w:rStyle w:val="a6"/>
      </w:rPr>
      <w:fldChar w:fldCharType="end"/>
    </w:r>
  </w:p>
  <w:p w:rsidR="00BC363E" w:rsidRDefault="00BC363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221D0"/>
    <w:multiLevelType w:val="hybridMultilevel"/>
    <w:tmpl w:val="A0A6A336"/>
    <w:lvl w:ilvl="0" w:tplc="07B04642">
      <w:start w:val="11"/>
      <w:numFmt w:val="bullet"/>
      <w:lvlText w:val="-"/>
      <w:lvlJc w:val="left"/>
      <w:pPr>
        <w:tabs>
          <w:tab w:val="num" w:pos="-180"/>
        </w:tabs>
        <w:ind w:left="-1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27A"/>
    <w:rsid w:val="00017037"/>
    <w:rsid w:val="0008727A"/>
    <w:rsid w:val="000B33F9"/>
    <w:rsid w:val="000E51B7"/>
    <w:rsid w:val="000F5FAC"/>
    <w:rsid w:val="00227E67"/>
    <w:rsid w:val="0025610B"/>
    <w:rsid w:val="002A4B94"/>
    <w:rsid w:val="0048703F"/>
    <w:rsid w:val="005A7BE4"/>
    <w:rsid w:val="005C75E8"/>
    <w:rsid w:val="00680FD5"/>
    <w:rsid w:val="00697E9D"/>
    <w:rsid w:val="006A1482"/>
    <w:rsid w:val="007825B3"/>
    <w:rsid w:val="00872B2A"/>
    <w:rsid w:val="008D2282"/>
    <w:rsid w:val="00924A91"/>
    <w:rsid w:val="009D61E4"/>
    <w:rsid w:val="00B526CF"/>
    <w:rsid w:val="00BC363E"/>
    <w:rsid w:val="00CE7C1C"/>
    <w:rsid w:val="00D204F8"/>
    <w:rsid w:val="00DD5A97"/>
    <w:rsid w:val="00F67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B786D5-1563-4434-94FE-2F4AE2C46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27A"/>
    <w:rPr>
      <w:lang w:val="uk-UA" w:eastAsia="ru-RU"/>
    </w:rPr>
  </w:style>
  <w:style w:type="paragraph" w:styleId="4">
    <w:name w:val="heading 4"/>
    <w:basedOn w:val="a"/>
    <w:next w:val="a"/>
    <w:qFormat/>
    <w:rsid w:val="0008727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"/>
    <w:basedOn w:val="a"/>
    <w:rsid w:val="0008727A"/>
    <w:rPr>
      <w:rFonts w:ascii="Verdana" w:hAnsi="Verdana" w:cs="Verdana"/>
      <w:lang w:val="en-US" w:eastAsia="en-US"/>
    </w:rPr>
  </w:style>
  <w:style w:type="paragraph" w:customStyle="1" w:styleId="a4">
    <w:name w:val=" Знак Знак Знак Знак Знак Знак"/>
    <w:basedOn w:val="a"/>
    <w:rsid w:val="0008727A"/>
    <w:rPr>
      <w:rFonts w:ascii="Verdana" w:hAnsi="Verdana" w:cs="Verdana"/>
      <w:lang w:val="en-US" w:eastAsia="en-US"/>
    </w:rPr>
  </w:style>
  <w:style w:type="paragraph" w:styleId="a5">
    <w:name w:val="header"/>
    <w:basedOn w:val="a"/>
    <w:rsid w:val="00BC363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C363E"/>
  </w:style>
  <w:style w:type="paragraph" w:styleId="HTML">
    <w:name w:val="HTML Preformatted"/>
    <w:basedOn w:val="a"/>
    <w:link w:val="HTML0"/>
    <w:rsid w:val="000E51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color w:val="000000"/>
      <w:sz w:val="21"/>
      <w:szCs w:val="21"/>
      <w:lang w:val="ru-RU"/>
    </w:rPr>
  </w:style>
  <w:style w:type="character" w:customStyle="1" w:styleId="HTML0">
    <w:name w:val="Стандартный HTML Знак"/>
    <w:basedOn w:val="a0"/>
    <w:link w:val="HTML"/>
    <w:locked/>
    <w:rsid w:val="000E51B7"/>
    <w:rPr>
      <w:rFonts w:ascii="Courier New" w:eastAsia="Calibri" w:hAnsi="Courier New" w:cs="Courier New"/>
      <w:color w:val="000000"/>
      <w:sz w:val="21"/>
      <w:szCs w:val="21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</vt:lpstr>
    </vt:vector>
  </TitlesOfParts>
  <Company>1</Company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</dc:title>
  <dc:subject/>
  <dc:creator>WiZaRd</dc:creator>
  <cp:keywords/>
  <cp:lastModifiedBy>kompvid2</cp:lastModifiedBy>
  <cp:revision>2</cp:revision>
  <dcterms:created xsi:type="dcterms:W3CDTF">2019-08-07T12:20:00Z</dcterms:created>
  <dcterms:modified xsi:type="dcterms:W3CDTF">2019-08-07T12:20:00Z</dcterms:modified>
</cp:coreProperties>
</file>