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F20022" w:rsidRPr="00AE2134" w:rsidTr="00AE2134">
        <w:trPr>
          <w:trHeight w:val="360"/>
        </w:trPr>
        <w:tc>
          <w:tcPr>
            <w:tcW w:w="9540" w:type="dxa"/>
            <w:shd w:val="clear" w:color="auto" w:fill="auto"/>
          </w:tcPr>
          <w:p w:rsidR="00F20022" w:rsidRPr="00AE2134" w:rsidRDefault="00F20022" w:rsidP="007C6AB9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5400" w:type="dxa"/>
            <w:shd w:val="clear" w:color="auto" w:fill="auto"/>
          </w:tcPr>
          <w:p w:rsidR="00F20022" w:rsidRPr="00AE2134" w:rsidRDefault="00F20022" w:rsidP="007C6AB9">
            <w:pPr>
              <w:rPr>
                <w:b/>
                <w:sz w:val="24"/>
                <w:szCs w:val="24"/>
              </w:rPr>
            </w:pPr>
            <w:r w:rsidRPr="00AE2134">
              <w:rPr>
                <w:b/>
                <w:sz w:val="24"/>
                <w:szCs w:val="24"/>
              </w:rPr>
              <w:t>Додаток 1</w:t>
            </w:r>
          </w:p>
          <w:p w:rsidR="00F20022" w:rsidRPr="00AE2134" w:rsidRDefault="00F20022" w:rsidP="007C6AB9">
            <w:pPr>
              <w:rPr>
                <w:lang w:val="uk-UA"/>
              </w:rPr>
            </w:pPr>
            <w:r w:rsidRPr="00AE2134">
              <w:rPr>
                <w:sz w:val="24"/>
                <w:szCs w:val="24"/>
              </w:rPr>
              <w:t xml:space="preserve">до </w:t>
            </w:r>
            <w:r w:rsidRPr="00AE2134">
              <w:rPr>
                <w:sz w:val="24"/>
                <w:szCs w:val="24"/>
                <w:lang w:val="uk-UA"/>
              </w:rPr>
              <w:t xml:space="preserve">Програми покращання умов обслуговування платників податків міста Чернівців та збільшення надходжень до державного та місцевих бюджетів на 2019 - 2021 роки, затвердженої рішенням Чернівецької міської ради </w:t>
            </w:r>
            <w:r w:rsidRPr="00AE2134">
              <w:rPr>
                <w:sz w:val="24"/>
                <w:szCs w:val="24"/>
              </w:rPr>
              <w:t>VI</w:t>
            </w:r>
            <w:r w:rsidRPr="00AE2134">
              <w:rPr>
                <w:sz w:val="24"/>
                <w:szCs w:val="24"/>
                <w:lang w:val="uk-UA"/>
              </w:rPr>
              <w:t xml:space="preserve">І скликання </w:t>
            </w:r>
          </w:p>
          <w:p w:rsidR="00F20022" w:rsidRPr="00AE2134" w:rsidRDefault="006B5E94" w:rsidP="007C6AB9">
            <w:pPr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lang w:val="uk-UA"/>
              </w:rPr>
              <w:t>20.06.2019</w:t>
            </w:r>
            <w:r w:rsidR="00F20022">
              <w:t xml:space="preserve">  № </w:t>
            </w:r>
            <w:r w:rsidRPr="00AE2134">
              <w:rPr>
                <w:lang w:val="uk-UA"/>
              </w:rPr>
              <w:t>1757</w:t>
            </w:r>
            <w:r w:rsidR="00F20022">
              <w:t>_____</w:t>
            </w:r>
          </w:p>
        </w:tc>
      </w:tr>
    </w:tbl>
    <w:p w:rsidR="005220EF" w:rsidRPr="00F20022" w:rsidRDefault="005220EF" w:rsidP="00F20022">
      <w:pPr>
        <w:spacing w:line="360" w:lineRule="auto"/>
        <w:rPr>
          <w:b/>
          <w:i/>
          <w:sz w:val="28"/>
          <w:szCs w:val="28"/>
          <w:lang w:val="en-US"/>
        </w:rPr>
      </w:pPr>
    </w:p>
    <w:p w:rsidR="00840739" w:rsidRDefault="00F20022" w:rsidP="00203451">
      <w:pPr>
        <w:jc w:val="center"/>
        <w:outlineLvl w:val="0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 xml:space="preserve">Ресурсне забезпечення </w:t>
      </w:r>
    </w:p>
    <w:p w:rsidR="00840739" w:rsidRDefault="00F20022" w:rsidP="00F20022">
      <w:pPr>
        <w:jc w:val="center"/>
        <w:rPr>
          <w:b/>
          <w:spacing w:val="2"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</w:t>
      </w:r>
      <w:r w:rsidRPr="00DB459A">
        <w:rPr>
          <w:b/>
          <w:spacing w:val="2"/>
          <w:sz w:val="28"/>
          <w:szCs w:val="28"/>
          <w:lang w:val="uk-UA"/>
        </w:rPr>
        <w:t>покращ</w:t>
      </w:r>
      <w:r>
        <w:rPr>
          <w:b/>
          <w:spacing w:val="2"/>
          <w:sz w:val="28"/>
          <w:szCs w:val="28"/>
          <w:lang w:val="uk-UA"/>
        </w:rPr>
        <w:t>ання</w:t>
      </w:r>
      <w:r w:rsidRPr="00DB459A">
        <w:rPr>
          <w:b/>
          <w:spacing w:val="2"/>
          <w:sz w:val="28"/>
          <w:szCs w:val="28"/>
          <w:lang w:val="uk-UA"/>
        </w:rPr>
        <w:t xml:space="preserve"> умов обслуговування платників</w:t>
      </w:r>
      <w:r>
        <w:rPr>
          <w:b/>
          <w:spacing w:val="2"/>
          <w:sz w:val="28"/>
          <w:szCs w:val="28"/>
          <w:lang w:val="uk-UA"/>
        </w:rPr>
        <w:t xml:space="preserve"> податків міста Чернівців</w:t>
      </w:r>
      <w:r w:rsidRPr="00DB459A">
        <w:rPr>
          <w:b/>
          <w:spacing w:val="2"/>
          <w:sz w:val="28"/>
          <w:szCs w:val="28"/>
          <w:lang w:val="uk-UA"/>
        </w:rPr>
        <w:t xml:space="preserve"> </w:t>
      </w:r>
    </w:p>
    <w:p w:rsidR="00840739" w:rsidRDefault="00F20022" w:rsidP="00F20022">
      <w:pPr>
        <w:jc w:val="center"/>
        <w:rPr>
          <w:b/>
          <w:spacing w:val="4"/>
          <w:sz w:val="28"/>
          <w:szCs w:val="28"/>
          <w:lang w:val="uk-UA"/>
        </w:rPr>
      </w:pPr>
      <w:r w:rsidRPr="00DB459A">
        <w:rPr>
          <w:b/>
          <w:spacing w:val="2"/>
          <w:sz w:val="28"/>
          <w:szCs w:val="28"/>
          <w:lang w:val="uk-UA"/>
        </w:rPr>
        <w:t xml:space="preserve">та  </w:t>
      </w:r>
      <w:r w:rsidRPr="00DB459A">
        <w:rPr>
          <w:b/>
          <w:spacing w:val="4"/>
          <w:sz w:val="28"/>
          <w:szCs w:val="28"/>
          <w:lang w:val="uk-UA"/>
        </w:rPr>
        <w:t xml:space="preserve">збільшення надходжень до державного та місцевих бюджетів </w:t>
      </w:r>
    </w:p>
    <w:p w:rsidR="00F20022" w:rsidRDefault="00F20022" w:rsidP="00F20022">
      <w:pPr>
        <w:jc w:val="center"/>
        <w:rPr>
          <w:b/>
          <w:spacing w:val="4"/>
          <w:sz w:val="28"/>
          <w:szCs w:val="28"/>
          <w:lang w:val="uk-UA"/>
        </w:rPr>
      </w:pPr>
      <w:r w:rsidRPr="00DB459A">
        <w:rPr>
          <w:b/>
          <w:spacing w:val="4"/>
          <w:sz w:val="28"/>
          <w:szCs w:val="28"/>
          <w:lang w:val="uk-UA"/>
        </w:rPr>
        <w:t>на 201</w:t>
      </w:r>
      <w:r>
        <w:rPr>
          <w:b/>
          <w:spacing w:val="4"/>
          <w:sz w:val="28"/>
          <w:szCs w:val="28"/>
          <w:lang w:val="uk-UA"/>
        </w:rPr>
        <w:t>9</w:t>
      </w:r>
      <w:r w:rsidRPr="00DB459A">
        <w:rPr>
          <w:b/>
          <w:spacing w:val="4"/>
          <w:sz w:val="28"/>
          <w:szCs w:val="28"/>
          <w:lang w:val="uk-UA"/>
        </w:rPr>
        <w:t xml:space="preserve"> - 20</w:t>
      </w:r>
      <w:r>
        <w:rPr>
          <w:b/>
          <w:spacing w:val="4"/>
          <w:sz w:val="28"/>
          <w:szCs w:val="28"/>
          <w:lang w:val="uk-UA"/>
        </w:rPr>
        <w:t>21</w:t>
      </w:r>
      <w:r w:rsidRPr="00DB459A">
        <w:rPr>
          <w:b/>
          <w:spacing w:val="4"/>
          <w:sz w:val="28"/>
          <w:szCs w:val="28"/>
          <w:lang w:val="uk-UA"/>
        </w:rPr>
        <w:t xml:space="preserve"> роки</w:t>
      </w:r>
    </w:p>
    <w:p w:rsidR="00840739" w:rsidRDefault="00840739" w:rsidP="0084073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тис.грн.</w:t>
      </w:r>
    </w:p>
    <w:tbl>
      <w:tblPr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1735"/>
        <w:gridCol w:w="1800"/>
        <w:gridCol w:w="1800"/>
        <w:gridCol w:w="3828"/>
      </w:tblGrid>
      <w:tr w:rsidR="00F20022" w:rsidRPr="00AE2134" w:rsidTr="00AE2134">
        <w:tc>
          <w:tcPr>
            <w:tcW w:w="5718" w:type="dxa"/>
            <w:vMerge w:val="restart"/>
            <w:shd w:val="clear" w:color="auto" w:fill="auto"/>
          </w:tcPr>
          <w:p w:rsidR="00571DAD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 xml:space="preserve">Обсяг коштів, </w:t>
            </w:r>
          </w:p>
          <w:p w:rsidR="00571DAD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 xml:space="preserve">які пропонується залучити </w:t>
            </w:r>
          </w:p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на виконання програми</w:t>
            </w:r>
          </w:p>
        </w:tc>
        <w:tc>
          <w:tcPr>
            <w:tcW w:w="5335" w:type="dxa"/>
            <w:gridSpan w:val="3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 xml:space="preserve">Етапи виконання </w:t>
            </w:r>
            <w:r w:rsidR="00840739" w:rsidRPr="00AE2134">
              <w:rPr>
                <w:b/>
                <w:sz w:val="28"/>
                <w:szCs w:val="28"/>
                <w:lang w:val="uk-UA"/>
              </w:rPr>
              <w:t>п</w:t>
            </w:r>
            <w:r w:rsidRPr="00AE2134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571DAD" w:rsidRPr="00AE2134" w:rsidRDefault="00571DAD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Всього витрат</w:t>
            </w:r>
          </w:p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на виконання програми</w:t>
            </w:r>
          </w:p>
        </w:tc>
      </w:tr>
      <w:tr w:rsidR="00F20022" w:rsidRPr="00AE2134" w:rsidTr="00AE2134">
        <w:tc>
          <w:tcPr>
            <w:tcW w:w="5718" w:type="dxa"/>
            <w:vMerge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201</w:t>
            </w:r>
            <w:r w:rsidRPr="00AE2134">
              <w:rPr>
                <w:b/>
                <w:sz w:val="28"/>
                <w:szCs w:val="28"/>
                <w:lang w:val="en-US"/>
              </w:rPr>
              <w:t>9</w:t>
            </w:r>
            <w:r w:rsidRPr="00AE2134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20</w:t>
            </w:r>
            <w:r w:rsidRPr="00AE2134">
              <w:rPr>
                <w:b/>
                <w:sz w:val="28"/>
                <w:szCs w:val="28"/>
                <w:lang w:val="en-US"/>
              </w:rPr>
              <w:t>20</w:t>
            </w:r>
            <w:r w:rsidRPr="00AE2134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20</w:t>
            </w:r>
            <w:r w:rsidRPr="00AE2134">
              <w:rPr>
                <w:b/>
                <w:sz w:val="28"/>
                <w:szCs w:val="28"/>
                <w:lang w:val="en-US"/>
              </w:rPr>
              <w:t>21</w:t>
            </w:r>
            <w:r w:rsidRPr="00AE2134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828" w:type="dxa"/>
            <w:vMerge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20022" w:rsidRPr="00AE2134" w:rsidTr="00AE2134">
        <w:tc>
          <w:tcPr>
            <w:tcW w:w="5718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1</w:t>
            </w:r>
          </w:p>
        </w:tc>
        <w:tc>
          <w:tcPr>
            <w:tcW w:w="1735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lang w:val="en-US"/>
              </w:rPr>
            </w:pPr>
            <w:r w:rsidRPr="00AE2134">
              <w:rPr>
                <w:lang w:val="en-US"/>
              </w:rPr>
              <w:t>5</w:t>
            </w:r>
          </w:p>
        </w:tc>
      </w:tr>
      <w:tr w:rsidR="00F20022" w:rsidRPr="00AE2134" w:rsidTr="00AE2134">
        <w:tc>
          <w:tcPr>
            <w:tcW w:w="5718" w:type="dxa"/>
            <w:shd w:val="clear" w:color="auto" w:fill="auto"/>
          </w:tcPr>
          <w:p w:rsidR="00F20022" w:rsidRPr="00AE2134" w:rsidRDefault="00F20022" w:rsidP="007C6AB9">
            <w:pPr>
              <w:rPr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Обсяг ресурсів</w:t>
            </w:r>
            <w:r w:rsidRPr="00AE2134">
              <w:rPr>
                <w:sz w:val="28"/>
                <w:szCs w:val="28"/>
                <w:lang w:val="uk-UA"/>
              </w:rPr>
              <w:t>, всього</w:t>
            </w:r>
          </w:p>
        </w:tc>
        <w:tc>
          <w:tcPr>
            <w:tcW w:w="1735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20</w:t>
            </w:r>
            <w:r w:rsidRPr="00AE213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3</w:t>
            </w:r>
            <w:r w:rsidRPr="00AE2134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5</w:t>
            </w:r>
            <w:r w:rsidRPr="00AE2134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3828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1</w:t>
            </w:r>
            <w:r w:rsidRPr="00AE2134">
              <w:rPr>
                <w:b/>
                <w:sz w:val="28"/>
                <w:szCs w:val="28"/>
                <w:lang w:val="en-US"/>
              </w:rPr>
              <w:t>00</w:t>
            </w:r>
            <w:r w:rsidRPr="00AE2134">
              <w:rPr>
                <w:b/>
                <w:sz w:val="28"/>
                <w:szCs w:val="28"/>
                <w:lang w:val="uk-UA"/>
              </w:rPr>
              <w:t>0,0</w:t>
            </w:r>
          </w:p>
        </w:tc>
      </w:tr>
      <w:tr w:rsidR="00F20022" w:rsidRPr="00AE2134" w:rsidTr="00AE2134">
        <w:tc>
          <w:tcPr>
            <w:tcW w:w="5718" w:type="dxa"/>
            <w:shd w:val="clear" w:color="auto" w:fill="auto"/>
          </w:tcPr>
          <w:p w:rsidR="00F20022" w:rsidRPr="00AE2134" w:rsidRDefault="00F20022" w:rsidP="007C6AB9">
            <w:pPr>
              <w:rPr>
                <w:sz w:val="28"/>
                <w:szCs w:val="28"/>
                <w:lang w:val="uk-UA"/>
              </w:rPr>
            </w:pPr>
            <w:r w:rsidRPr="00AE2134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735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20022" w:rsidRPr="00AE2134" w:rsidTr="00AE2134">
        <w:tc>
          <w:tcPr>
            <w:tcW w:w="5718" w:type="dxa"/>
            <w:shd w:val="clear" w:color="auto" w:fill="auto"/>
          </w:tcPr>
          <w:p w:rsidR="00F20022" w:rsidRPr="00AE2134" w:rsidRDefault="00F20022" w:rsidP="00F20022">
            <w:pPr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міський бюджет</w:t>
            </w:r>
            <w:r w:rsidR="00162172" w:rsidRPr="00AE2134">
              <w:rPr>
                <w:b/>
                <w:sz w:val="28"/>
                <w:szCs w:val="28"/>
                <w:lang w:val="uk-UA"/>
              </w:rPr>
              <w:t>*</w:t>
            </w:r>
          </w:p>
        </w:tc>
        <w:tc>
          <w:tcPr>
            <w:tcW w:w="1735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20</w:t>
            </w:r>
            <w:r w:rsidRPr="00AE2134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3</w:t>
            </w:r>
            <w:r w:rsidRPr="00AE2134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1800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uk-UA"/>
              </w:rPr>
              <w:t>3</w:t>
            </w:r>
            <w:r w:rsidRPr="00AE2134">
              <w:rPr>
                <w:sz w:val="28"/>
                <w:szCs w:val="28"/>
                <w:lang w:val="en-US"/>
              </w:rPr>
              <w:t>5</w:t>
            </w:r>
            <w:r w:rsidRPr="00AE2134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3828" w:type="dxa"/>
            <w:shd w:val="clear" w:color="auto" w:fill="auto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1</w:t>
            </w:r>
            <w:r w:rsidRPr="00AE2134">
              <w:rPr>
                <w:b/>
                <w:sz w:val="28"/>
                <w:szCs w:val="28"/>
                <w:lang w:val="en-US"/>
              </w:rPr>
              <w:t>00</w:t>
            </w:r>
            <w:r w:rsidRPr="00AE2134">
              <w:rPr>
                <w:b/>
                <w:sz w:val="28"/>
                <w:szCs w:val="28"/>
                <w:lang w:val="uk-UA"/>
              </w:rPr>
              <w:t>0,0</w:t>
            </w:r>
          </w:p>
        </w:tc>
      </w:tr>
      <w:tr w:rsidR="00F20022" w:rsidRPr="00AE2134" w:rsidTr="00AE2134">
        <w:tc>
          <w:tcPr>
            <w:tcW w:w="5718" w:type="dxa"/>
            <w:shd w:val="clear" w:color="auto" w:fill="auto"/>
          </w:tcPr>
          <w:p w:rsidR="00F20022" w:rsidRPr="00AE2134" w:rsidRDefault="00F20022" w:rsidP="007C6AB9">
            <w:pPr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sz w:val="28"/>
                <w:szCs w:val="28"/>
                <w:lang w:val="en-US"/>
              </w:rPr>
            </w:pPr>
            <w:r w:rsidRPr="00AE2134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20022" w:rsidRPr="00AE2134" w:rsidRDefault="00F20022" w:rsidP="00AE21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b/>
                <w:sz w:val="28"/>
                <w:szCs w:val="28"/>
                <w:lang w:val="en-US"/>
              </w:rPr>
              <w:t>-</w:t>
            </w:r>
          </w:p>
        </w:tc>
      </w:tr>
    </w:tbl>
    <w:p w:rsidR="00F20022" w:rsidRPr="00A542DC" w:rsidRDefault="00F20022" w:rsidP="00F20022">
      <w:pPr>
        <w:jc w:val="center"/>
        <w:rPr>
          <w:sz w:val="28"/>
          <w:szCs w:val="28"/>
          <w:lang w:val="uk-UA"/>
        </w:rPr>
      </w:pPr>
    </w:p>
    <w:p w:rsidR="003357D1" w:rsidRPr="00DB459A" w:rsidRDefault="003357D1" w:rsidP="003357D1">
      <w:pPr>
        <w:shd w:val="clear" w:color="auto" w:fill="FFFFFF"/>
        <w:ind w:firstLine="561"/>
        <w:jc w:val="both"/>
        <w:rPr>
          <w:bCs/>
          <w:i/>
          <w:sz w:val="24"/>
          <w:szCs w:val="24"/>
          <w:u w:val="single"/>
          <w:lang w:val="uk-UA"/>
        </w:rPr>
      </w:pPr>
      <w:r w:rsidRPr="00DB459A">
        <w:rPr>
          <w:b/>
          <w:bCs/>
          <w:i/>
          <w:sz w:val="24"/>
          <w:szCs w:val="24"/>
          <w:u w:val="single"/>
          <w:lang w:val="uk-UA"/>
        </w:rPr>
        <w:t xml:space="preserve">* </w:t>
      </w:r>
      <w:r w:rsidRPr="00DB459A">
        <w:rPr>
          <w:bCs/>
          <w:i/>
          <w:sz w:val="24"/>
          <w:szCs w:val="24"/>
          <w:u w:val="single"/>
          <w:lang w:val="uk-UA"/>
        </w:rPr>
        <w:t>ПРИМІТКА:   Фінансування заходів програми здійснювати за окремим рішенням Чернівецької міської  ради за рахунок вільного залишку бюджетних коштів, або перевиконання дохідної частини загального фонду міс</w:t>
      </w:r>
      <w:r>
        <w:rPr>
          <w:bCs/>
          <w:i/>
          <w:sz w:val="24"/>
          <w:szCs w:val="24"/>
          <w:u w:val="single"/>
          <w:lang w:val="uk-UA"/>
        </w:rPr>
        <w:t xml:space="preserve">ького </w:t>
      </w:r>
      <w:r w:rsidRPr="00DB459A">
        <w:rPr>
          <w:bCs/>
          <w:i/>
          <w:sz w:val="24"/>
          <w:szCs w:val="24"/>
          <w:u w:val="single"/>
          <w:lang w:val="uk-UA"/>
        </w:rPr>
        <w:t>бюджету за умови відсутності заборгованості такого бюджету за захищеними статтями видатків протягом року на будь-яку дату.</w:t>
      </w:r>
    </w:p>
    <w:p w:rsidR="00F20022" w:rsidRPr="00162172" w:rsidRDefault="00F20022" w:rsidP="00F20022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F20022" w:rsidRPr="00162172" w:rsidRDefault="00F20022" w:rsidP="00F20022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F20022" w:rsidRPr="007C6102" w:rsidRDefault="00F20022" w:rsidP="00F20022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F20022" w:rsidRDefault="00F20022" w:rsidP="00F20022">
      <w:pPr>
        <w:rPr>
          <w:b/>
          <w:sz w:val="28"/>
          <w:szCs w:val="28"/>
          <w:lang w:val="uk-UA"/>
        </w:rPr>
      </w:pPr>
      <w:r w:rsidRPr="00162172">
        <w:rPr>
          <w:b/>
          <w:sz w:val="28"/>
          <w:szCs w:val="28"/>
          <w:lang w:val="uk-UA"/>
        </w:rPr>
        <w:t xml:space="preserve"> </w:t>
      </w:r>
      <w:r w:rsidR="003A5EC5">
        <w:rPr>
          <w:b/>
          <w:sz w:val="28"/>
          <w:szCs w:val="28"/>
          <w:lang w:val="uk-UA"/>
        </w:rPr>
        <w:t xml:space="preserve">          </w:t>
      </w:r>
      <w:r w:rsidRPr="00162172">
        <w:rPr>
          <w:b/>
          <w:sz w:val="28"/>
          <w:szCs w:val="28"/>
          <w:lang w:val="uk-UA"/>
        </w:rPr>
        <w:t xml:space="preserve">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</w:t>
      </w:r>
      <w:r w:rsidR="003A5EC5">
        <w:rPr>
          <w:b/>
          <w:sz w:val="28"/>
          <w:szCs w:val="28"/>
        </w:rPr>
        <w:t xml:space="preserve">           </w:t>
      </w:r>
      <w:r w:rsidRPr="009804CF">
        <w:rPr>
          <w:b/>
          <w:sz w:val="28"/>
          <w:szCs w:val="28"/>
        </w:rPr>
        <w:t xml:space="preserve">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B87C50" w:rsidRDefault="00B87C50" w:rsidP="00F20022">
      <w:pPr>
        <w:rPr>
          <w:b/>
          <w:sz w:val="28"/>
          <w:szCs w:val="28"/>
          <w:lang w:val="uk-UA"/>
        </w:rPr>
      </w:pPr>
    </w:p>
    <w:p w:rsidR="00B87C50" w:rsidRDefault="00B87C50" w:rsidP="00F20022">
      <w:pPr>
        <w:rPr>
          <w:b/>
          <w:sz w:val="28"/>
          <w:szCs w:val="28"/>
          <w:lang w:val="uk-UA"/>
        </w:rPr>
      </w:pPr>
    </w:p>
    <w:p w:rsidR="00B87C50" w:rsidRDefault="00B87C50" w:rsidP="00F20022">
      <w:pPr>
        <w:rPr>
          <w:b/>
          <w:sz w:val="28"/>
          <w:szCs w:val="28"/>
          <w:lang w:val="uk-UA"/>
        </w:rPr>
      </w:pPr>
    </w:p>
    <w:p w:rsidR="00B87C50" w:rsidRPr="00C21ECF" w:rsidRDefault="00B87C50" w:rsidP="00F20022">
      <w:pPr>
        <w:rPr>
          <w:b/>
          <w:sz w:val="28"/>
          <w:szCs w:val="28"/>
          <w:lang w:val="uk-UA"/>
        </w:rPr>
      </w:pPr>
    </w:p>
    <w:p w:rsidR="005220EF" w:rsidRPr="00DB459A" w:rsidRDefault="005220EF" w:rsidP="00F27C6C">
      <w:pPr>
        <w:rPr>
          <w:b/>
          <w:i/>
          <w:sz w:val="24"/>
          <w:szCs w:val="24"/>
          <w:lang w:val="uk-UA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F20022" w:rsidRPr="00AE2134" w:rsidTr="00AE2134">
        <w:trPr>
          <w:trHeight w:val="360"/>
        </w:trPr>
        <w:tc>
          <w:tcPr>
            <w:tcW w:w="9540" w:type="dxa"/>
            <w:shd w:val="clear" w:color="auto" w:fill="auto"/>
          </w:tcPr>
          <w:p w:rsidR="00F20022" w:rsidRPr="00AE2134" w:rsidRDefault="00F20022" w:rsidP="007C6AB9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F20022" w:rsidRPr="00AE2134" w:rsidRDefault="00F20022" w:rsidP="007C6AB9">
            <w:pPr>
              <w:rPr>
                <w:b/>
                <w:sz w:val="24"/>
                <w:szCs w:val="24"/>
                <w:lang w:val="en-US"/>
              </w:rPr>
            </w:pPr>
            <w:r w:rsidRPr="00AE2134">
              <w:rPr>
                <w:b/>
                <w:sz w:val="24"/>
                <w:szCs w:val="24"/>
              </w:rPr>
              <w:t xml:space="preserve">Додаток </w:t>
            </w:r>
            <w:r w:rsidRPr="00AE2134">
              <w:rPr>
                <w:b/>
                <w:sz w:val="24"/>
                <w:szCs w:val="24"/>
                <w:lang w:val="en-US"/>
              </w:rPr>
              <w:t>2</w:t>
            </w:r>
          </w:p>
          <w:p w:rsidR="00F20022" w:rsidRPr="00AE2134" w:rsidRDefault="00F20022" w:rsidP="007C6AB9">
            <w:pPr>
              <w:rPr>
                <w:lang w:val="uk-UA"/>
              </w:rPr>
            </w:pPr>
            <w:r w:rsidRPr="00AE2134">
              <w:rPr>
                <w:sz w:val="24"/>
                <w:szCs w:val="24"/>
              </w:rPr>
              <w:t xml:space="preserve">до </w:t>
            </w:r>
            <w:r w:rsidRPr="00AE2134">
              <w:rPr>
                <w:sz w:val="24"/>
                <w:szCs w:val="24"/>
                <w:lang w:val="uk-UA"/>
              </w:rPr>
              <w:t xml:space="preserve">Програми покращання умов обслуговування платників податків міста Чернівців та збільшення надходжень до державного та місцевих бюджетів на 2019 - 2021 роки, затвердженої рішенням Чернівецької міської ради </w:t>
            </w:r>
            <w:r w:rsidRPr="00AE2134">
              <w:rPr>
                <w:sz w:val="24"/>
                <w:szCs w:val="24"/>
              </w:rPr>
              <w:t>VI</w:t>
            </w:r>
            <w:r w:rsidRPr="00AE2134">
              <w:rPr>
                <w:sz w:val="24"/>
                <w:szCs w:val="24"/>
                <w:lang w:val="uk-UA"/>
              </w:rPr>
              <w:t xml:space="preserve">І скликання </w:t>
            </w:r>
          </w:p>
          <w:p w:rsidR="00F20022" w:rsidRPr="00AE2134" w:rsidRDefault="006B5E94" w:rsidP="007C6AB9">
            <w:pPr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lang w:val="uk-UA"/>
              </w:rPr>
              <w:t>20.06.2019</w:t>
            </w:r>
            <w:r w:rsidR="00F20022">
              <w:t xml:space="preserve">  № </w:t>
            </w:r>
            <w:r w:rsidRPr="00AE2134">
              <w:rPr>
                <w:lang w:val="uk-UA"/>
              </w:rPr>
              <w:t>1757</w:t>
            </w:r>
          </w:p>
        </w:tc>
      </w:tr>
    </w:tbl>
    <w:p w:rsidR="00F74930" w:rsidRPr="00F74930" w:rsidRDefault="00F74930" w:rsidP="00B87EF2">
      <w:pPr>
        <w:shd w:val="clear" w:color="auto" w:fill="FFFFFF"/>
        <w:ind w:firstLine="748"/>
        <w:jc w:val="both"/>
        <w:rPr>
          <w:color w:val="FF0000"/>
          <w:sz w:val="28"/>
          <w:szCs w:val="28"/>
          <w:lang w:val="uk-UA"/>
        </w:rPr>
      </w:pPr>
    </w:p>
    <w:p w:rsidR="005128AA" w:rsidRPr="00DB459A" w:rsidRDefault="005128AA" w:rsidP="0084440E">
      <w:pPr>
        <w:pStyle w:val="ab"/>
        <w:ind w:firstLine="748"/>
        <w:rPr>
          <w:color w:val="auto"/>
        </w:rPr>
      </w:pPr>
    </w:p>
    <w:p w:rsidR="00840739" w:rsidRDefault="00DC2E93" w:rsidP="00203451">
      <w:pPr>
        <w:jc w:val="center"/>
        <w:outlineLvl w:val="0"/>
        <w:rPr>
          <w:b/>
          <w:sz w:val="28"/>
          <w:szCs w:val="28"/>
          <w:lang w:val="uk-UA"/>
        </w:rPr>
      </w:pPr>
      <w:r w:rsidRPr="00162172">
        <w:rPr>
          <w:b/>
          <w:sz w:val="28"/>
          <w:szCs w:val="28"/>
          <w:lang w:val="uk-UA"/>
        </w:rPr>
        <w:t xml:space="preserve">Результативні показники  </w:t>
      </w:r>
    </w:p>
    <w:p w:rsidR="00840739" w:rsidRDefault="00DC2E93" w:rsidP="00203451">
      <w:pPr>
        <w:jc w:val="center"/>
        <w:outlineLvl w:val="0"/>
        <w:rPr>
          <w:b/>
          <w:sz w:val="28"/>
          <w:szCs w:val="28"/>
          <w:lang w:val="uk-UA"/>
        </w:rPr>
      </w:pPr>
      <w:r w:rsidRPr="00162172">
        <w:rPr>
          <w:b/>
          <w:sz w:val="28"/>
          <w:szCs w:val="28"/>
          <w:lang w:val="uk-UA"/>
        </w:rPr>
        <w:t>Програми покращ</w:t>
      </w:r>
      <w:r w:rsidR="00D21213">
        <w:rPr>
          <w:b/>
          <w:sz w:val="28"/>
          <w:szCs w:val="28"/>
          <w:lang w:val="uk-UA"/>
        </w:rPr>
        <w:t>а</w:t>
      </w:r>
      <w:r w:rsidRPr="00162172">
        <w:rPr>
          <w:b/>
          <w:sz w:val="28"/>
          <w:szCs w:val="28"/>
          <w:lang w:val="uk-UA"/>
        </w:rPr>
        <w:t xml:space="preserve">ння  умов обслуговування платників </w:t>
      </w:r>
      <w:r w:rsidR="00840739">
        <w:rPr>
          <w:b/>
          <w:sz w:val="28"/>
          <w:szCs w:val="28"/>
          <w:lang w:val="uk-UA"/>
        </w:rPr>
        <w:t>податків</w:t>
      </w:r>
      <w:r w:rsidRPr="00162172">
        <w:rPr>
          <w:b/>
          <w:sz w:val="28"/>
          <w:szCs w:val="28"/>
          <w:lang w:val="uk-UA"/>
        </w:rPr>
        <w:t xml:space="preserve"> міста Чернівців </w:t>
      </w:r>
    </w:p>
    <w:p w:rsidR="00840739" w:rsidRDefault="00DC2E93" w:rsidP="00203451">
      <w:pPr>
        <w:jc w:val="center"/>
        <w:outlineLvl w:val="0"/>
        <w:rPr>
          <w:b/>
          <w:sz w:val="28"/>
          <w:szCs w:val="28"/>
          <w:lang w:val="uk-UA"/>
        </w:rPr>
      </w:pPr>
      <w:r w:rsidRPr="00162172">
        <w:rPr>
          <w:b/>
          <w:sz w:val="28"/>
          <w:szCs w:val="28"/>
          <w:lang w:val="uk-UA"/>
        </w:rPr>
        <w:t xml:space="preserve"> та  збільшення надходжень до </w:t>
      </w:r>
      <w:r w:rsidR="00B87C50" w:rsidRPr="00B87C50">
        <w:rPr>
          <w:b/>
          <w:color w:val="000000"/>
          <w:sz w:val="28"/>
          <w:szCs w:val="28"/>
          <w:lang w:val="uk-UA"/>
        </w:rPr>
        <w:t>д</w:t>
      </w:r>
      <w:r w:rsidRPr="00B87C50">
        <w:rPr>
          <w:b/>
          <w:color w:val="000000"/>
          <w:sz w:val="28"/>
          <w:szCs w:val="28"/>
          <w:lang w:val="uk-UA"/>
        </w:rPr>
        <w:t>ержавного</w:t>
      </w:r>
      <w:r w:rsidRPr="00162172">
        <w:rPr>
          <w:b/>
          <w:sz w:val="28"/>
          <w:szCs w:val="28"/>
          <w:lang w:val="uk-UA"/>
        </w:rPr>
        <w:t xml:space="preserve"> та місцевих бюджетів </w:t>
      </w:r>
    </w:p>
    <w:p w:rsidR="00DC2E93" w:rsidRPr="00162172" w:rsidRDefault="00DC2E93" w:rsidP="00203451">
      <w:pPr>
        <w:jc w:val="center"/>
        <w:outlineLvl w:val="0"/>
        <w:rPr>
          <w:b/>
          <w:sz w:val="28"/>
          <w:szCs w:val="28"/>
          <w:lang w:val="uk-UA"/>
        </w:rPr>
      </w:pPr>
      <w:r w:rsidRPr="00162172">
        <w:rPr>
          <w:b/>
          <w:sz w:val="28"/>
          <w:szCs w:val="28"/>
          <w:lang w:val="uk-UA"/>
        </w:rPr>
        <w:t>на 2019 - 2021 роки</w:t>
      </w:r>
    </w:p>
    <w:p w:rsidR="00DC2E93" w:rsidRPr="00162172" w:rsidRDefault="00DC2E93" w:rsidP="00DC2E9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6182"/>
        <w:gridCol w:w="917"/>
        <w:gridCol w:w="2326"/>
        <w:gridCol w:w="1002"/>
        <w:gridCol w:w="840"/>
        <w:gridCol w:w="840"/>
        <w:gridCol w:w="2351"/>
      </w:tblGrid>
      <w:tr w:rsidR="00B87C50" w:rsidRPr="00AE2134" w:rsidTr="00AE213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 xml:space="preserve">№ </w:t>
            </w: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>Назва показника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Од</w:t>
            </w:r>
            <w:r w:rsidR="00571DAD" w:rsidRPr="00AE2134">
              <w:rPr>
                <w:b/>
                <w:sz w:val="28"/>
                <w:szCs w:val="28"/>
                <w:lang w:val="uk-UA"/>
              </w:rPr>
              <w:t>.</w:t>
            </w:r>
            <w:r w:rsidRPr="00AE213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>вим</w:t>
            </w:r>
            <w:r w:rsidR="00571DAD" w:rsidRPr="00AE2134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 xml:space="preserve">Вихідні дані на </w:t>
            </w: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 xml:space="preserve">початок дії </w:t>
            </w:r>
            <w:r w:rsidR="00162172" w:rsidRPr="00AE2134">
              <w:rPr>
                <w:b/>
                <w:sz w:val="28"/>
                <w:szCs w:val="28"/>
                <w:lang w:val="uk-UA"/>
              </w:rPr>
              <w:t>п</w:t>
            </w:r>
            <w:r w:rsidRPr="00AE2134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162172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 xml:space="preserve">Етапи виконання </w:t>
            </w: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>програми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DAD" w:rsidRPr="00AE2134" w:rsidRDefault="00DC2E93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 xml:space="preserve">Всього </w:t>
            </w:r>
          </w:p>
          <w:p w:rsidR="00571DAD" w:rsidRPr="00AE2134" w:rsidRDefault="00DC2E93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lastRenderedPageBreak/>
              <w:t xml:space="preserve">за період дії </w:t>
            </w:r>
            <w:r w:rsidR="00B87C50" w:rsidRPr="00AE2134">
              <w:rPr>
                <w:b/>
                <w:sz w:val="28"/>
                <w:szCs w:val="28"/>
                <w:lang w:val="uk-UA"/>
              </w:rPr>
              <w:t xml:space="preserve">або до кінця дії </w:t>
            </w:r>
            <w:r w:rsidR="00162172" w:rsidRPr="00AE2134">
              <w:rPr>
                <w:b/>
                <w:sz w:val="28"/>
                <w:szCs w:val="28"/>
                <w:lang w:val="uk-UA"/>
              </w:rPr>
              <w:t>п</w:t>
            </w:r>
            <w:r w:rsidRPr="00AE2134">
              <w:rPr>
                <w:b/>
                <w:sz w:val="28"/>
                <w:szCs w:val="28"/>
                <w:lang w:val="uk-UA"/>
              </w:rPr>
              <w:t xml:space="preserve">рограми </w:t>
            </w:r>
          </w:p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</w:tr>
      <w:tr w:rsidR="00B87C50" w:rsidRPr="00AE2134" w:rsidTr="00AE21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44C0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44C0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44C0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44C09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b/>
                <w:lang w:val="uk-UA"/>
              </w:rPr>
            </w:pPr>
            <w:r w:rsidRPr="00AE2134">
              <w:rPr>
                <w:b/>
                <w:lang w:val="uk-UA"/>
              </w:rPr>
              <w:t>2019</w:t>
            </w:r>
          </w:p>
          <w:p w:rsidR="00571DAD" w:rsidRPr="00AE2134" w:rsidRDefault="00571DAD" w:rsidP="00AE21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E2134">
              <w:rPr>
                <w:b/>
                <w:lang w:val="uk-UA"/>
              </w:rPr>
              <w:t>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b/>
                <w:lang w:val="uk-UA"/>
              </w:rPr>
            </w:pPr>
            <w:r w:rsidRPr="00AE2134">
              <w:rPr>
                <w:b/>
                <w:lang w:val="uk-UA"/>
              </w:rPr>
              <w:t>2020</w:t>
            </w:r>
          </w:p>
          <w:p w:rsidR="00571DAD" w:rsidRPr="00AE2134" w:rsidRDefault="00571DAD" w:rsidP="00AE21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E2134">
              <w:rPr>
                <w:b/>
                <w:lang w:val="uk-UA"/>
              </w:rPr>
              <w:t>рік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b/>
                <w:lang w:val="uk-UA"/>
              </w:rPr>
            </w:pPr>
            <w:r w:rsidRPr="00AE2134">
              <w:rPr>
                <w:b/>
                <w:lang w:val="uk-UA"/>
              </w:rPr>
              <w:t>2021</w:t>
            </w:r>
          </w:p>
          <w:p w:rsidR="00571DAD" w:rsidRPr="00AE2134" w:rsidRDefault="00571DAD" w:rsidP="00AE21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E2134">
              <w:rPr>
                <w:b/>
                <w:lang w:val="uk-UA"/>
              </w:rPr>
              <w:t>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44C09">
            <w:pPr>
              <w:rPr>
                <w:rFonts w:eastAsia="Calibri"/>
                <w:lang w:val="uk-UA" w:eastAsia="en-US"/>
              </w:rPr>
            </w:pPr>
          </w:p>
        </w:tc>
      </w:tr>
      <w:tr w:rsidR="00DC2E93" w:rsidRPr="00AE2134" w:rsidTr="00AE2134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162172" w:rsidP="00AE213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 xml:space="preserve">І. Показники продукту 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і</w:t>
            </w:r>
            <w:r w:rsidRPr="00AE2134">
              <w:rPr>
                <w:rFonts w:eastAsia="Calibri"/>
                <w:sz w:val="28"/>
                <w:szCs w:val="28"/>
                <w:lang w:eastAsia="en-US"/>
              </w:rPr>
              <w:t>льк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іс</w:t>
            </w:r>
            <w:r w:rsidRPr="00AE2134">
              <w:rPr>
                <w:rFonts w:eastAsia="Calibri"/>
                <w:sz w:val="28"/>
                <w:szCs w:val="28"/>
                <w:lang w:eastAsia="en-US"/>
              </w:rPr>
              <w:t>ть робочих м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ісць</w:t>
            </w:r>
            <w:r w:rsidR="00162172" w:rsidRPr="00AE2134"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 xml:space="preserve"> оснащених новою комп</w:t>
            </w:r>
            <w:r w:rsidR="00C106DC" w:rsidRPr="00AE2134">
              <w:rPr>
                <w:rFonts w:eastAsia="Calibri"/>
                <w:sz w:val="28"/>
                <w:szCs w:val="28"/>
                <w:lang w:eastAsia="en-US"/>
              </w:rPr>
              <w:t>’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ютерною технікою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840739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од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E12CF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23</w:t>
            </w:r>
            <w:r w:rsidR="00840739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 xml:space="preserve">Кількість робочих місць з підключеною </w:t>
            </w:r>
            <w:r w:rsidRPr="00AE2134">
              <w:rPr>
                <w:rFonts w:eastAsia="Calibri"/>
                <w:sz w:val="28"/>
                <w:szCs w:val="28"/>
                <w:lang w:val="en-US" w:eastAsia="en-US"/>
              </w:rPr>
              <w:t>CRM</w:t>
            </w: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- системою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840739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DC2E93" w:rsidRPr="00AE2134" w:rsidTr="00AE2134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ІІ. Показники ефективності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840739" w:rsidP="00AE2134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Рівень зростання надходжень 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до </w:t>
            </w:r>
            <w:r w:rsidR="00B87C50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міського 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бюджету</w:t>
            </w:r>
            <w:r w:rsidR="00DC2E93" w:rsidRPr="00AE2134"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 w:rsidR="00AB45CA" w:rsidRPr="00AE2134"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(у порівнянні до попереднього періоду)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%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19</w:t>
            </w:r>
            <w:r w:rsidR="00150BF9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+1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5A437B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</w:t>
            </w:r>
            <w:r w:rsidR="00AB45CA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2,2</w:t>
            </w:r>
            <w:r w:rsidR="004F79DD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C106DC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en-US" w:eastAsia="en-US"/>
              </w:rPr>
              <w:t>2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AB45CA" w:rsidP="00AE2134">
            <w:pPr>
              <w:jc w:val="both"/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Рівень збільшення 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кількості платників</w:t>
            </w:r>
            <w:r w:rsidR="004F79DD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податків</w:t>
            </w: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AE2134"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(у порівнянні до попереднього періоду)</w:t>
            </w:r>
          </w:p>
          <w:p w:rsidR="00221979" w:rsidRPr="00AE2134" w:rsidRDefault="00221979" w:rsidP="00AE2134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%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+2</w:t>
            </w:r>
            <w:r w:rsidR="00AB45CA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+2</w:t>
            </w:r>
            <w:r w:rsidR="00AB45CA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+2</w:t>
            </w:r>
            <w:r w:rsidR="00AB45CA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+6</w:t>
            </w:r>
            <w:r w:rsidR="00AB45CA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,1</w:t>
            </w:r>
            <w:r w:rsidR="004F79DD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C106DC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en-US" w:eastAsia="en-US"/>
              </w:rPr>
              <w:t>3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AB45CA" w:rsidP="00AE2134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Рівень збільшення 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середньомісячної кількості наданих адміністративних послуг</w:t>
            </w: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AE2134"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(у порівнянні до попереднього періоду)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%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E4445E" w:rsidRPr="00AE2134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5</w:t>
            </w:r>
            <w:r w:rsidR="00AD7BD6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E4445E" w:rsidRPr="00AE2134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5</w:t>
            </w:r>
            <w:r w:rsidR="00AD7BD6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E4445E" w:rsidRPr="00AE2134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5</w:t>
            </w:r>
            <w:r w:rsidR="00AD7BD6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</w:t>
            </w:r>
            <w:r w:rsidR="00E4445E" w:rsidRPr="00AE2134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15</w:t>
            </w:r>
            <w:r w:rsidR="00AD7BD6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,8</w:t>
            </w:r>
            <w:r w:rsidR="004F79DD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C106DC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en-US" w:eastAsia="en-US"/>
              </w:rPr>
              <w:t>4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204973" w:rsidP="00AE2134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Рівень збільшення кількості суб’єктів господарської діяльності, які подають звітність в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електронному вигляді</w:t>
            </w: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AE2134"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(у порівнянні до попереднього періоду)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%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+5</w:t>
            </w:r>
            <w:r w:rsidR="0020497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+5</w:t>
            </w:r>
            <w:r w:rsidR="0020497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+5</w:t>
            </w:r>
            <w:r w:rsidR="0020497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+15</w:t>
            </w:r>
            <w:r w:rsidR="0020497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,8</w:t>
            </w:r>
            <w:r w:rsidR="004F79DD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DC2E93" w:rsidRPr="00AE2134" w:rsidTr="00AE2134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E2134">
              <w:rPr>
                <w:b/>
                <w:sz w:val="28"/>
                <w:szCs w:val="28"/>
                <w:lang w:val="uk-UA"/>
              </w:rPr>
              <w:t>ІІІ. Показники якості</w:t>
            </w:r>
          </w:p>
        </w:tc>
      </w:tr>
      <w:tr w:rsidR="00B87C50" w:rsidRPr="00AE2134" w:rsidTr="00AE21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  <w:r w:rsidR="003A5EC5" w:rsidRPr="00AE2134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AD7BD6" w:rsidP="00AD7BD6">
            <w:pPr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 xml:space="preserve">Витрати часу на </w:t>
            </w:r>
            <w:r w:rsidR="00DC2E93" w:rsidRPr="00AE2134"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  <w:t>обслуговування 1 платника податків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хв.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E93" w:rsidRPr="00AE2134" w:rsidRDefault="00DC2E93" w:rsidP="00AE2134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E2134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</w:p>
        </w:tc>
      </w:tr>
    </w:tbl>
    <w:p w:rsidR="00DC2E93" w:rsidRPr="00162172" w:rsidRDefault="00DC2E93" w:rsidP="005128AA">
      <w:pPr>
        <w:shd w:val="clear" w:color="auto" w:fill="FFFFFF"/>
        <w:ind w:firstLine="748"/>
        <w:jc w:val="both"/>
        <w:rPr>
          <w:sz w:val="28"/>
          <w:szCs w:val="28"/>
          <w:lang w:val="uk-UA"/>
        </w:rPr>
      </w:pPr>
    </w:p>
    <w:p w:rsidR="006A2D97" w:rsidRDefault="006A2D97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3A5EC5">
      <w:pPr>
        <w:shd w:val="clear" w:color="auto" w:fill="FFFFFF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</w:t>
      </w:r>
      <w:r w:rsidRPr="009804CF">
        <w:rPr>
          <w:b/>
          <w:sz w:val="28"/>
          <w:szCs w:val="28"/>
        </w:rPr>
        <w:t xml:space="preserve">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6A2D97">
      <w:pPr>
        <w:shd w:val="clear" w:color="auto" w:fill="FFFFFF"/>
        <w:ind w:firstLine="561"/>
        <w:rPr>
          <w:b/>
          <w:color w:val="FF0000"/>
          <w:lang w:val="uk-UA"/>
        </w:rPr>
      </w:pPr>
    </w:p>
    <w:p w:rsidR="003A5EC5" w:rsidRDefault="003A5EC5" w:rsidP="00301D44">
      <w:pPr>
        <w:shd w:val="clear" w:color="auto" w:fill="FFFFFF"/>
        <w:rPr>
          <w:b/>
          <w:color w:val="FF0000"/>
          <w:lang w:val="uk-UA"/>
        </w:rPr>
      </w:pPr>
    </w:p>
    <w:p w:rsidR="003A5EC5" w:rsidRDefault="004619A9" w:rsidP="004619A9">
      <w:pPr>
        <w:shd w:val="clear" w:color="auto" w:fill="FFFFFF"/>
        <w:rPr>
          <w:b/>
          <w:color w:val="FF0000"/>
          <w:lang w:val="uk-UA"/>
        </w:rPr>
      </w:pPr>
      <w:r>
        <w:rPr>
          <w:b/>
          <w:color w:val="FF0000"/>
          <w:lang w:val="uk-UA"/>
        </w:rPr>
        <w:br w:type="page"/>
      </w: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3A5EC5" w:rsidRPr="00AE2134" w:rsidTr="00AE2134">
        <w:trPr>
          <w:trHeight w:val="360"/>
        </w:trPr>
        <w:tc>
          <w:tcPr>
            <w:tcW w:w="9540" w:type="dxa"/>
            <w:shd w:val="clear" w:color="auto" w:fill="auto"/>
          </w:tcPr>
          <w:p w:rsidR="003A5EC5" w:rsidRPr="00AE2134" w:rsidRDefault="003A5EC5" w:rsidP="007C6AB9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3A5EC5" w:rsidRPr="00AE2134" w:rsidRDefault="003A5EC5" w:rsidP="007C6AB9">
            <w:pPr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</w:rPr>
              <w:t xml:space="preserve">Додаток </w:t>
            </w:r>
            <w:r w:rsidRPr="00AE2134">
              <w:rPr>
                <w:b/>
                <w:sz w:val="24"/>
                <w:szCs w:val="24"/>
                <w:lang w:val="uk-UA"/>
              </w:rPr>
              <w:t>3</w:t>
            </w:r>
          </w:p>
          <w:p w:rsidR="003A5EC5" w:rsidRPr="00AE2134" w:rsidRDefault="003A5EC5" w:rsidP="007C6AB9">
            <w:pPr>
              <w:rPr>
                <w:lang w:val="uk-UA"/>
              </w:rPr>
            </w:pPr>
            <w:r w:rsidRPr="00AE2134">
              <w:rPr>
                <w:sz w:val="24"/>
                <w:szCs w:val="24"/>
              </w:rPr>
              <w:t xml:space="preserve">до </w:t>
            </w:r>
            <w:r w:rsidRPr="00AE2134">
              <w:rPr>
                <w:sz w:val="24"/>
                <w:szCs w:val="24"/>
                <w:lang w:val="uk-UA"/>
              </w:rPr>
              <w:t xml:space="preserve">Програми покращання умов обслуговування платників податків міста Чернівців та збільшення надходжень до державного та місцевих бюджетів на 2019 - 2021 роки, затвердженої рішенням Чернівецької міської ради </w:t>
            </w:r>
            <w:r w:rsidRPr="00AE2134">
              <w:rPr>
                <w:sz w:val="24"/>
                <w:szCs w:val="24"/>
              </w:rPr>
              <w:t>VI</w:t>
            </w:r>
            <w:r w:rsidRPr="00AE2134">
              <w:rPr>
                <w:sz w:val="24"/>
                <w:szCs w:val="24"/>
                <w:lang w:val="uk-UA"/>
              </w:rPr>
              <w:t xml:space="preserve">І скликання </w:t>
            </w:r>
          </w:p>
          <w:p w:rsidR="003A5EC5" w:rsidRPr="00AE2134" w:rsidRDefault="006B5E94" w:rsidP="007C6AB9">
            <w:pPr>
              <w:rPr>
                <w:b/>
                <w:sz w:val="28"/>
                <w:szCs w:val="28"/>
                <w:lang w:val="en-US"/>
              </w:rPr>
            </w:pPr>
            <w:r w:rsidRPr="00AE2134">
              <w:rPr>
                <w:lang w:val="uk-UA"/>
              </w:rPr>
              <w:t>20.06.2019</w:t>
            </w:r>
            <w:r>
              <w:t xml:space="preserve">  № </w:t>
            </w:r>
            <w:r w:rsidRPr="00AE2134">
              <w:rPr>
                <w:lang w:val="uk-UA"/>
              </w:rPr>
              <w:t>1757</w:t>
            </w:r>
          </w:p>
        </w:tc>
      </w:tr>
    </w:tbl>
    <w:p w:rsidR="003A5EC5" w:rsidRDefault="003A5EC5" w:rsidP="000864D5">
      <w:pPr>
        <w:shd w:val="clear" w:color="auto" w:fill="FFFFFF"/>
        <w:jc w:val="center"/>
        <w:rPr>
          <w:b/>
          <w:bCs/>
          <w:iCs/>
          <w:sz w:val="28"/>
          <w:szCs w:val="28"/>
          <w:lang w:val="uk-UA"/>
        </w:rPr>
      </w:pPr>
    </w:p>
    <w:p w:rsidR="004069D2" w:rsidRDefault="004069D2" w:rsidP="003A5EC5">
      <w:pPr>
        <w:jc w:val="center"/>
        <w:rPr>
          <w:b/>
          <w:sz w:val="28"/>
          <w:szCs w:val="28"/>
          <w:lang w:val="uk-UA"/>
        </w:rPr>
      </w:pPr>
    </w:p>
    <w:p w:rsidR="00AD7BD6" w:rsidRDefault="003A5EC5" w:rsidP="00203451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 заходи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AD7BD6" w:rsidRDefault="003A5EC5" w:rsidP="003A5EC5">
      <w:pPr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</w:t>
      </w:r>
      <w:r w:rsidRPr="003A5EC5">
        <w:rPr>
          <w:b/>
          <w:sz w:val="28"/>
          <w:szCs w:val="28"/>
          <w:lang w:val="uk-UA"/>
        </w:rPr>
        <w:t>покращання умов обслуговування платників податків міста Чернівців</w:t>
      </w:r>
    </w:p>
    <w:p w:rsidR="00AD7BD6" w:rsidRDefault="003A5EC5" w:rsidP="003A5EC5">
      <w:pPr>
        <w:jc w:val="center"/>
        <w:rPr>
          <w:b/>
          <w:sz w:val="28"/>
          <w:szCs w:val="28"/>
          <w:lang w:val="uk-UA"/>
        </w:rPr>
      </w:pPr>
      <w:r w:rsidRPr="003A5EC5">
        <w:rPr>
          <w:b/>
          <w:sz w:val="28"/>
          <w:szCs w:val="28"/>
          <w:lang w:val="uk-UA"/>
        </w:rPr>
        <w:t xml:space="preserve">та збільшення надходжень до державного та місцевих бюджетів </w:t>
      </w:r>
    </w:p>
    <w:p w:rsidR="003A5EC5" w:rsidRPr="00EA4518" w:rsidRDefault="003A5EC5" w:rsidP="003A5EC5">
      <w:pPr>
        <w:jc w:val="center"/>
        <w:rPr>
          <w:b/>
          <w:sz w:val="28"/>
          <w:szCs w:val="28"/>
          <w:lang w:val="uk-UA"/>
        </w:rPr>
      </w:pPr>
      <w:r w:rsidRPr="003A5EC5">
        <w:rPr>
          <w:b/>
          <w:sz w:val="28"/>
          <w:szCs w:val="28"/>
          <w:lang w:val="uk-UA"/>
        </w:rPr>
        <w:t>на 2019 - 2021 роки</w:t>
      </w:r>
    </w:p>
    <w:p w:rsidR="00DC2E93" w:rsidRDefault="00DC2E93" w:rsidP="00DC2E93">
      <w:pPr>
        <w:jc w:val="center"/>
        <w:rPr>
          <w:b/>
          <w:sz w:val="28"/>
          <w:szCs w:val="28"/>
          <w:lang w:val="uk-UA"/>
        </w:rPr>
      </w:pPr>
    </w:p>
    <w:tbl>
      <w:tblPr>
        <w:tblW w:w="15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2057"/>
        <w:gridCol w:w="2057"/>
        <w:gridCol w:w="1309"/>
        <w:gridCol w:w="2057"/>
        <w:gridCol w:w="1683"/>
        <w:gridCol w:w="935"/>
        <w:gridCol w:w="748"/>
        <w:gridCol w:w="748"/>
        <w:gridCol w:w="748"/>
        <w:gridCol w:w="2244"/>
      </w:tblGrid>
      <w:tr w:rsidR="00C5513F" w:rsidRPr="00AE2134" w:rsidTr="00AE2134">
        <w:tc>
          <w:tcPr>
            <w:tcW w:w="482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Назва напряму діяльності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 xml:space="preserve">Заходи </w:t>
            </w:r>
          </w:p>
          <w:p w:rsidR="004069D2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з реалізації напряму діяльності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AE2134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(роки)</w:t>
            </w:r>
          </w:p>
        </w:tc>
        <w:tc>
          <w:tcPr>
            <w:tcW w:w="2057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683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AE2134">
              <w:rPr>
                <w:b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3179" w:type="dxa"/>
            <w:gridSpan w:val="4"/>
            <w:shd w:val="clear" w:color="auto" w:fill="auto"/>
            <w:vAlign w:val="center"/>
          </w:tcPr>
          <w:p w:rsidR="004069D2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 xml:space="preserve">Орієнтовні обсяги фінансування </w:t>
            </w:r>
          </w:p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2244" w:type="dxa"/>
            <w:vMerge w:val="restart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C5513F" w:rsidRPr="00AE2134" w:rsidTr="00AE2134">
        <w:tc>
          <w:tcPr>
            <w:tcW w:w="482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AE2134">
              <w:rPr>
                <w:b/>
                <w:lang w:val="uk-UA"/>
              </w:rPr>
              <w:t>всього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2019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2020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2021</w:t>
            </w:r>
          </w:p>
        </w:tc>
        <w:tc>
          <w:tcPr>
            <w:tcW w:w="2244" w:type="dxa"/>
            <w:vMerge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C5513F" w:rsidRPr="00AE2134" w:rsidTr="00AE2134">
        <w:tc>
          <w:tcPr>
            <w:tcW w:w="482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1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2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4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5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6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7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8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10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C5513F" w:rsidRPr="00AE2134" w:rsidRDefault="00C5513F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11</w:t>
            </w:r>
          </w:p>
        </w:tc>
      </w:tr>
      <w:tr w:rsidR="00FF30A1" w:rsidRPr="00AE2134" w:rsidTr="00AE2134">
        <w:tc>
          <w:tcPr>
            <w:tcW w:w="482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AE2134">
              <w:rPr>
                <w:b/>
                <w:lang w:val="uk-UA"/>
              </w:rPr>
              <w:t>1.</w:t>
            </w:r>
          </w:p>
        </w:tc>
        <w:tc>
          <w:tcPr>
            <w:tcW w:w="2057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bCs/>
                <w:iCs/>
                <w:sz w:val="24"/>
                <w:szCs w:val="24"/>
                <w:lang w:val="uk-UA"/>
              </w:rPr>
              <w:t>Проведення організаційно-правових заходів, спрямованих на повне та своєчасне наповнення бюджетів усіх рівнів</w:t>
            </w:r>
          </w:p>
        </w:tc>
        <w:tc>
          <w:tcPr>
            <w:tcW w:w="2057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bCs/>
                <w:iCs/>
                <w:sz w:val="24"/>
                <w:szCs w:val="24"/>
                <w:lang w:val="uk-UA"/>
              </w:rPr>
              <w:t>1.1.</w:t>
            </w:r>
            <w:r w:rsidRPr="00AE2134">
              <w:rPr>
                <w:bCs/>
                <w:iCs/>
                <w:sz w:val="24"/>
                <w:szCs w:val="24"/>
                <w:lang w:val="uk-UA"/>
              </w:rPr>
              <w:t>П</w:t>
            </w:r>
            <w:r w:rsidRPr="00AE2134">
              <w:rPr>
                <w:sz w:val="24"/>
                <w:szCs w:val="24"/>
                <w:lang w:val="uk-UA"/>
              </w:rPr>
              <w:t>роведення спільних семінарів-нарад контролюючих органів, місцевих органів виконавчої влади для платників податків з питань доведення норм Податкового кодексу України та нормативно-правових актів, прийнятих на його виконання</w:t>
            </w:r>
          </w:p>
        </w:tc>
        <w:tc>
          <w:tcPr>
            <w:tcW w:w="1309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області,</w:t>
            </w:r>
          </w:p>
          <w:p w:rsidR="00FF30A1" w:rsidRPr="00AE2134" w:rsidRDefault="0072527B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r w:rsidR="00FF30A1" w:rsidRPr="00AE213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683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FF30A1" w:rsidRPr="00AE2134" w:rsidRDefault="00D30E44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Повна та своєчасн</w:t>
            </w:r>
            <w:r w:rsidR="002B4E94" w:rsidRPr="00AE2134">
              <w:rPr>
                <w:sz w:val="24"/>
                <w:szCs w:val="24"/>
                <w:lang w:val="uk-UA"/>
              </w:rPr>
              <w:t>а сплата податків до бюджетів усіх</w:t>
            </w:r>
            <w:r w:rsidRPr="00AE2134">
              <w:rPr>
                <w:sz w:val="24"/>
                <w:szCs w:val="24"/>
                <w:lang w:val="uk-UA"/>
              </w:rPr>
              <w:t xml:space="preserve"> рівнів</w:t>
            </w:r>
            <w:r w:rsidR="002B4E94" w:rsidRPr="00AE2134">
              <w:rPr>
                <w:sz w:val="24"/>
                <w:szCs w:val="24"/>
                <w:lang w:val="uk-UA"/>
              </w:rPr>
              <w:t>, забезпечення системності та стабільності процесу оподаткування, зростання доходної частини  бюджетів</w:t>
            </w:r>
            <w:r w:rsidR="0072527B" w:rsidRPr="00AE2134">
              <w:rPr>
                <w:sz w:val="24"/>
                <w:szCs w:val="24"/>
                <w:lang w:val="uk-UA"/>
              </w:rPr>
              <w:t xml:space="preserve"> усіх рівнів</w:t>
            </w:r>
          </w:p>
        </w:tc>
      </w:tr>
      <w:tr w:rsidR="00FF30A1" w:rsidRPr="00AE2134" w:rsidTr="00AE2134">
        <w:tc>
          <w:tcPr>
            <w:tcW w:w="482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1.2.</w:t>
            </w:r>
            <w:r w:rsidRPr="00AE2134">
              <w:rPr>
                <w:sz w:val="24"/>
                <w:szCs w:val="24"/>
                <w:lang w:val="uk-UA"/>
              </w:rPr>
              <w:t>Співпраця з громадськістю шляхом розміщення в громадських місцях, засобах масової інформації, мережі Інтернет номерів контактних телефонів територіальних органів ГУ ДФС, графіків прийому громадян посадовими</w:t>
            </w:r>
            <w:r w:rsidRPr="00AE2134">
              <w:rPr>
                <w:color w:val="FF0000"/>
                <w:sz w:val="24"/>
                <w:szCs w:val="24"/>
                <w:lang w:val="uk-UA"/>
              </w:rPr>
              <w:t xml:space="preserve"> </w:t>
            </w:r>
            <w:r w:rsidRPr="00AE2134">
              <w:rPr>
                <w:sz w:val="24"/>
                <w:szCs w:val="24"/>
                <w:lang w:val="uk-UA"/>
              </w:rPr>
              <w:t>особами таких органів, номерів «телефонів довіри» та «Пульсу»</w:t>
            </w:r>
          </w:p>
        </w:tc>
        <w:tc>
          <w:tcPr>
            <w:tcW w:w="1309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2019-2021</w:t>
            </w:r>
          </w:p>
        </w:tc>
        <w:tc>
          <w:tcPr>
            <w:tcW w:w="2057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FF30A1" w:rsidRPr="00AE2134" w:rsidRDefault="0072527B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Повна та своєчасна сплата податків до бюджетів усіх рівнів, забезпечення системності та стабільності процесу оподаткування, зростання доходної частини  бюджетів усіх рівнів</w:t>
            </w:r>
          </w:p>
        </w:tc>
      </w:tr>
      <w:tr w:rsidR="00FF30A1" w:rsidRPr="00AE2134" w:rsidTr="00AE2134">
        <w:tc>
          <w:tcPr>
            <w:tcW w:w="482" w:type="dxa"/>
            <w:shd w:val="clear" w:color="auto" w:fill="auto"/>
          </w:tcPr>
          <w:p w:rsidR="00FF30A1" w:rsidRPr="00AE2134" w:rsidRDefault="00FF30A1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:rsidR="00FF30A1" w:rsidRPr="00AE2134" w:rsidRDefault="00FF30A1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1.3.</w:t>
            </w:r>
            <w:r w:rsidRPr="00AE2134">
              <w:rPr>
                <w:sz w:val="24"/>
                <w:szCs w:val="24"/>
                <w:lang w:val="uk-UA"/>
              </w:rPr>
              <w:t>Н</w:t>
            </w:r>
            <w:r w:rsidRPr="00AE2134">
              <w:rPr>
                <w:color w:val="000000"/>
                <w:sz w:val="24"/>
                <w:szCs w:val="24"/>
                <w:lang w:val="uk-UA" w:eastAsia="en-US"/>
              </w:rPr>
              <w:t xml:space="preserve">адання методичної та практичної допомоги </w:t>
            </w:r>
            <w:r w:rsidRPr="00AE2134">
              <w:rPr>
                <w:color w:val="000000"/>
                <w:sz w:val="24"/>
                <w:szCs w:val="24"/>
                <w:lang w:val="en-US" w:eastAsia="en-US"/>
              </w:rPr>
              <w:t>суб’єктам гос</w:t>
            </w:r>
            <w:r w:rsidRPr="00AE2134">
              <w:rPr>
                <w:color w:val="000000"/>
                <w:sz w:val="24"/>
                <w:szCs w:val="24"/>
                <w:lang w:val="uk-UA" w:eastAsia="en-US"/>
              </w:rPr>
              <w:t>п</w:t>
            </w:r>
            <w:r w:rsidRPr="00AE2134">
              <w:rPr>
                <w:color w:val="000000"/>
                <w:sz w:val="24"/>
                <w:szCs w:val="24"/>
                <w:lang w:val="en-US" w:eastAsia="en-US"/>
              </w:rPr>
              <w:t xml:space="preserve">одарювання щодо строків сплати, розмірів ставок місцевих податків і зборів відповідно до </w:t>
            </w:r>
            <w:r w:rsidRPr="00AE2134">
              <w:rPr>
                <w:color w:val="000000"/>
                <w:sz w:val="24"/>
                <w:szCs w:val="24"/>
                <w:lang w:val="uk-UA" w:eastAsia="en-US"/>
              </w:rPr>
              <w:t>п</w:t>
            </w:r>
            <w:r w:rsidRPr="00AE2134">
              <w:rPr>
                <w:color w:val="000000"/>
                <w:sz w:val="24"/>
                <w:szCs w:val="24"/>
                <w:lang w:val="en-US" w:eastAsia="en-US"/>
              </w:rPr>
              <w:t>рийнят</w:t>
            </w:r>
            <w:r w:rsidRPr="00AE2134">
              <w:rPr>
                <w:color w:val="000000"/>
                <w:sz w:val="24"/>
                <w:szCs w:val="24"/>
                <w:lang w:val="uk-UA" w:eastAsia="en-US"/>
              </w:rPr>
              <w:t>их</w:t>
            </w:r>
            <w:r w:rsidRPr="00AE2134">
              <w:rPr>
                <w:color w:val="000000"/>
                <w:sz w:val="24"/>
                <w:szCs w:val="24"/>
                <w:lang w:val="en-US" w:eastAsia="en-US"/>
              </w:rPr>
              <w:t xml:space="preserve"> рішен</w:t>
            </w:r>
            <w:r w:rsidRPr="00AE2134">
              <w:rPr>
                <w:color w:val="000000"/>
                <w:sz w:val="24"/>
                <w:szCs w:val="24"/>
                <w:lang w:val="uk-UA" w:eastAsia="en-US"/>
              </w:rPr>
              <w:t>ь органів місцевого самоврядування</w:t>
            </w:r>
          </w:p>
        </w:tc>
        <w:tc>
          <w:tcPr>
            <w:tcW w:w="1309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2019-2021</w:t>
            </w:r>
          </w:p>
        </w:tc>
        <w:tc>
          <w:tcPr>
            <w:tcW w:w="2057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  <w:r w:rsidR="0072527B" w:rsidRPr="00AE2134">
              <w:rPr>
                <w:sz w:val="24"/>
                <w:szCs w:val="24"/>
                <w:lang w:val="uk-UA"/>
              </w:rPr>
              <w:t>, фінансове управління міської ради</w:t>
            </w:r>
          </w:p>
        </w:tc>
        <w:tc>
          <w:tcPr>
            <w:tcW w:w="1683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FF30A1" w:rsidRPr="00AE2134" w:rsidRDefault="00D30B00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FF30A1" w:rsidRPr="00AE2134" w:rsidRDefault="0072527B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Повна та своєчасна сплата податків до бюджетів усіх рівнів, забезпечення системності та стабільності процесу оподаткування, зростання доходної частини  бюджетів усіх рівнів</w:t>
            </w:r>
          </w:p>
        </w:tc>
      </w:tr>
      <w:tr w:rsidR="0072527B" w:rsidRPr="00AE2134" w:rsidTr="00AE2134">
        <w:tc>
          <w:tcPr>
            <w:tcW w:w="482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1.4.</w:t>
            </w:r>
            <w:r w:rsidRPr="00AE2134">
              <w:rPr>
                <w:sz w:val="24"/>
                <w:szCs w:val="24"/>
                <w:lang w:val="uk-UA"/>
              </w:rPr>
              <w:t>Підготовка та розміщення в засобах масової інформації, у соціальних мережах матеріалів щодо змін у податковому законодавстві, соціальної значимості добровільної та своєчасної сплати податків до бюджетів усіх рівнів, розуміння державних завдань, які виконує ДФС України.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області,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AE2134">
              <w:rPr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Повна та своєчасна сплата податків до бюджетів усіх рівнів, забезпечення системності та стабільності процесу оподаткування, зростання доходної частини  бюджетів усіх рівнів</w:t>
            </w:r>
          </w:p>
        </w:tc>
      </w:tr>
      <w:tr w:rsidR="0072527B" w:rsidRPr="00AE2134" w:rsidTr="00AE2134">
        <w:tc>
          <w:tcPr>
            <w:tcW w:w="482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bCs/>
                <w:iCs/>
                <w:sz w:val="24"/>
                <w:szCs w:val="24"/>
                <w:lang w:val="uk-UA"/>
              </w:rPr>
              <w:t>Профілактика порушень податкового законодавства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bCs/>
                <w:iCs/>
                <w:sz w:val="24"/>
                <w:szCs w:val="24"/>
                <w:lang w:val="uk-UA"/>
              </w:rPr>
              <w:t>2.1.</w:t>
            </w:r>
            <w:r w:rsidRPr="00AE2134">
              <w:rPr>
                <w:bCs/>
                <w:iCs/>
                <w:sz w:val="24"/>
                <w:szCs w:val="24"/>
                <w:lang w:val="uk-UA"/>
              </w:rPr>
              <w:t xml:space="preserve">Проведення роз’яснювальної роботи </w:t>
            </w:r>
            <w:r w:rsidRPr="00AE2134">
              <w:rPr>
                <w:sz w:val="24"/>
                <w:szCs w:val="24"/>
                <w:lang w:val="uk-UA"/>
              </w:rPr>
              <w:t xml:space="preserve">через засоби масової інформації та мережу Інтернет норм податкового </w:t>
            </w:r>
            <w:r w:rsidRPr="00AE2134">
              <w:rPr>
                <w:sz w:val="24"/>
                <w:szCs w:val="24"/>
                <w:lang w:val="uk-UA"/>
              </w:rPr>
              <w:lastRenderedPageBreak/>
              <w:t>законодавства, запровадження нових форм роботи, спрямованих на виявлення порушень податкового законодавства та їх  попередження, висвітлення через засоби масової інформації та мережу Інтернет  інформації про порушення законодавства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lastRenderedPageBreak/>
              <w:t>2019-2021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області,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 xml:space="preserve">Запобігання порушенням законодавства в сфері оподаткування завдяки покращенню якості послуг по </w:t>
            </w:r>
            <w:r w:rsidRPr="00AE2134">
              <w:rPr>
                <w:sz w:val="24"/>
                <w:szCs w:val="24"/>
                <w:lang w:val="uk-UA"/>
              </w:rPr>
              <w:lastRenderedPageBreak/>
              <w:t>складанню податкової звітності, підвищення рівня  обізнаності платників податків щодо порядку сплати податків, зменшення кількості порушень податкового законодавства</w:t>
            </w:r>
          </w:p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2527B" w:rsidRPr="00AE2134" w:rsidTr="00AE2134">
        <w:tc>
          <w:tcPr>
            <w:tcW w:w="482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2.2.</w:t>
            </w:r>
            <w:r w:rsidRPr="00AE2134">
              <w:rPr>
                <w:sz w:val="24"/>
                <w:szCs w:val="24"/>
                <w:lang w:val="uk-UA"/>
              </w:rPr>
              <w:t>Проведення семінарів, навчань та інших інформаційно-роз’яснювальних заходів з питань порушень податкового законодавства, розповсюдження фахового журналу «Вісник – право знати все про податки і збори»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CE1DE9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CE1DE9" w:rsidRPr="00AE2134" w:rsidRDefault="00CE1DE9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Запобігання порушенням законодавства в сфері оподаткування завдяки покращенню якості послуг по складанню податкової звітності, підвищення рівня  обізнаності платників податків щодо порядку сплати податків, зменшення кількості порушень податкового законодавства</w:t>
            </w:r>
          </w:p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2527B" w:rsidRPr="00AE2134" w:rsidTr="00AE2134">
        <w:tc>
          <w:tcPr>
            <w:tcW w:w="482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Забезпечення належних побутових умов для обслуговування платників податків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3.1</w:t>
            </w:r>
            <w:r w:rsidRPr="00AE2134">
              <w:rPr>
                <w:sz w:val="24"/>
                <w:szCs w:val="24"/>
                <w:lang w:val="uk-UA"/>
              </w:rPr>
              <w:t>.Придбання кондиціонера у зал приймання звітності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 xml:space="preserve">2019 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170,0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170,0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Покращення  умов обслуговування платників податків</w:t>
            </w:r>
          </w:p>
        </w:tc>
      </w:tr>
      <w:tr w:rsidR="0072527B" w:rsidRPr="00AE2134" w:rsidTr="00AE2134">
        <w:tc>
          <w:tcPr>
            <w:tcW w:w="482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3.2</w:t>
            </w:r>
            <w:r w:rsidRPr="00AE2134">
              <w:rPr>
                <w:sz w:val="24"/>
                <w:szCs w:val="24"/>
                <w:lang w:val="uk-UA"/>
              </w:rPr>
              <w:t xml:space="preserve">.Придбання меблів для облаштування </w:t>
            </w:r>
            <w:r w:rsidRPr="00AE2134">
              <w:rPr>
                <w:b/>
                <w:sz w:val="24"/>
                <w:szCs w:val="24"/>
              </w:rPr>
              <w:t>ЦОП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jc w:val="center"/>
              <w:rPr>
                <w:sz w:val="24"/>
                <w:szCs w:val="24"/>
              </w:rPr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200,0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Підвищення ефективності роботи працівників Чернівецького управління ГУ ДФС у Чернівецькій області, які обслуговують платників податків</w:t>
            </w:r>
          </w:p>
        </w:tc>
      </w:tr>
      <w:tr w:rsidR="0072527B" w:rsidRPr="00AE2134" w:rsidTr="00AE2134">
        <w:tc>
          <w:tcPr>
            <w:tcW w:w="482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3.3</w:t>
            </w:r>
            <w:r w:rsidRPr="00AE2134">
              <w:rPr>
                <w:sz w:val="24"/>
                <w:szCs w:val="24"/>
                <w:lang w:val="uk-UA"/>
              </w:rPr>
              <w:t xml:space="preserve">.Ремонт приміщень, де  обслуговуються платники податків 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jc w:val="center"/>
              <w:rPr>
                <w:sz w:val="24"/>
                <w:szCs w:val="24"/>
              </w:rPr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230,0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130,0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Створення належних умов для платників податків</w:t>
            </w:r>
          </w:p>
        </w:tc>
      </w:tr>
      <w:tr w:rsidR="0072527B" w:rsidRPr="00AE2134" w:rsidTr="00AE2134">
        <w:tc>
          <w:tcPr>
            <w:tcW w:w="482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3.4.</w:t>
            </w:r>
            <w:r w:rsidRPr="00AE2134">
              <w:rPr>
                <w:sz w:val="24"/>
                <w:szCs w:val="24"/>
                <w:lang w:val="uk-UA"/>
              </w:rPr>
              <w:t xml:space="preserve">Придбання світлодіодних ламп у приміщення </w:t>
            </w:r>
            <w:r w:rsidRPr="00AE2134">
              <w:rPr>
                <w:b/>
                <w:sz w:val="24"/>
                <w:szCs w:val="24"/>
                <w:lang w:val="uk-UA"/>
              </w:rPr>
              <w:t>ЦОП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 xml:space="preserve">2019  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50,0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 xml:space="preserve">Створення комфортних умов для відвідувачів та працівників </w:t>
            </w:r>
            <w:r w:rsidRPr="00AE2134">
              <w:rPr>
                <w:b/>
                <w:sz w:val="24"/>
                <w:szCs w:val="24"/>
                <w:lang w:val="uk-UA"/>
              </w:rPr>
              <w:t>ЦОП</w:t>
            </w:r>
          </w:p>
        </w:tc>
      </w:tr>
      <w:tr w:rsidR="0072527B" w:rsidRPr="00AE2134" w:rsidTr="00AE2134">
        <w:tc>
          <w:tcPr>
            <w:tcW w:w="482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Впровадження сучасних інформаційних технологій, автоматизація процесів оподаткування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4.1.</w:t>
            </w:r>
            <w:r w:rsidRPr="00AE2134">
              <w:rPr>
                <w:sz w:val="24"/>
                <w:szCs w:val="24"/>
                <w:lang w:val="uk-UA"/>
              </w:rPr>
              <w:t xml:space="preserve">Встановлення </w:t>
            </w:r>
            <w:r w:rsidRPr="00AE2134">
              <w:rPr>
                <w:sz w:val="24"/>
                <w:szCs w:val="24"/>
                <w:lang w:val="en-US"/>
              </w:rPr>
              <w:t>CRM</w:t>
            </w:r>
            <w:r w:rsidRPr="00AE2134">
              <w:rPr>
                <w:sz w:val="24"/>
                <w:szCs w:val="24"/>
              </w:rPr>
              <w:t xml:space="preserve"> - </w:t>
            </w:r>
            <w:r w:rsidRPr="00AE2134">
              <w:rPr>
                <w:sz w:val="24"/>
                <w:szCs w:val="24"/>
                <w:lang w:val="uk-UA"/>
              </w:rPr>
              <w:t>системи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2057" w:type="dxa"/>
            <w:shd w:val="clear" w:color="auto" w:fill="auto"/>
          </w:tcPr>
          <w:p w:rsidR="0072527B" w:rsidRDefault="0072527B" w:rsidP="00AE2134">
            <w:pPr>
              <w:jc w:val="both"/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Default="0072527B" w:rsidP="00AE2134">
            <w:pPr>
              <w:jc w:val="center"/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50,0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Покращення інформування платників податків</w:t>
            </w:r>
          </w:p>
        </w:tc>
      </w:tr>
      <w:tr w:rsidR="0072527B" w:rsidRPr="00AE2134" w:rsidTr="00AE2134">
        <w:tc>
          <w:tcPr>
            <w:tcW w:w="482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4.2.</w:t>
            </w:r>
            <w:r w:rsidRPr="00AE2134">
              <w:rPr>
                <w:sz w:val="24"/>
                <w:szCs w:val="24"/>
                <w:lang w:val="uk-UA"/>
              </w:rPr>
              <w:t>Придбання комп’ютерної та оргтехніки (комп’ютери,</w:t>
            </w:r>
          </w:p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принтери, ксерокси, сканери)</w:t>
            </w: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2057" w:type="dxa"/>
            <w:shd w:val="clear" w:color="auto" w:fill="auto"/>
          </w:tcPr>
          <w:p w:rsidR="0072527B" w:rsidRDefault="0072527B" w:rsidP="00AE2134">
            <w:pPr>
              <w:jc w:val="both"/>
            </w:pPr>
            <w:r w:rsidRPr="00AE2134">
              <w:rPr>
                <w:sz w:val="24"/>
                <w:szCs w:val="24"/>
                <w:lang w:val="uk-UA"/>
              </w:rPr>
              <w:t>Чернівецьке управління ГУ ДФС у Чернівецькій області</w:t>
            </w:r>
          </w:p>
        </w:tc>
        <w:tc>
          <w:tcPr>
            <w:tcW w:w="1683" w:type="dxa"/>
            <w:shd w:val="clear" w:color="auto" w:fill="auto"/>
          </w:tcPr>
          <w:p w:rsidR="0072527B" w:rsidRDefault="0072527B" w:rsidP="00AE2134">
            <w:pPr>
              <w:jc w:val="center"/>
            </w:pPr>
            <w:r w:rsidRPr="00AE2134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300,0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50,0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150,0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  <w:r w:rsidRPr="00AE2134">
              <w:rPr>
                <w:sz w:val="24"/>
                <w:szCs w:val="24"/>
                <w:lang w:val="uk-UA"/>
              </w:rPr>
              <w:t>Покращення доступу  до баз ДФС Центрального рівня, своєчасність надання адміністративних послуг, зменшення часу виконання платниками податків податкових зобов’язань</w:t>
            </w:r>
          </w:p>
        </w:tc>
      </w:tr>
      <w:tr w:rsidR="0072527B" w:rsidRPr="00AE2134" w:rsidTr="00AE2134">
        <w:tc>
          <w:tcPr>
            <w:tcW w:w="482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309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7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5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AE2134">
              <w:rPr>
                <w:b/>
                <w:sz w:val="24"/>
                <w:szCs w:val="24"/>
                <w:lang w:val="uk-UA"/>
              </w:rPr>
              <w:t>1000,0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320,0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330,0</w:t>
            </w:r>
          </w:p>
        </w:tc>
        <w:tc>
          <w:tcPr>
            <w:tcW w:w="748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center"/>
              <w:rPr>
                <w:sz w:val="22"/>
                <w:szCs w:val="22"/>
                <w:lang w:val="uk-UA"/>
              </w:rPr>
            </w:pPr>
            <w:r w:rsidRPr="00AE2134">
              <w:rPr>
                <w:sz w:val="22"/>
                <w:szCs w:val="22"/>
                <w:lang w:val="uk-UA"/>
              </w:rPr>
              <w:t>350,0</w:t>
            </w:r>
          </w:p>
        </w:tc>
        <w:tc>
          <w:tcPr>
            <w:tcW w:w="2244" w:type="dxa"/>
            <w:shd w:val="clear" w:color="auto" w:fill="auto"/>
          </w:tcPr>
          <w:p w:rsidR="0072527B" w:rsidRPr="00AE2134" w:rsidRDefault="0072527B" w:rsidP="00AE2134">
            <w:pPr>
              <w:tabs>
                <w:tab w:val="left" w:pos="83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3A5EC5" w:rsidRDefault="003A5EC5" w:rsidP="00DC2E93">
      <w:pPr>
        <w:jc w:val="center"/>
        <w:rPr>
          <w:b/>
          <w:sz w:val="28"/>
          <w:szCs w:val="28"/>
          <w:lang w:val="en-US"/>
        </w:rPr>
      </w:pPr>
    </w:p>
    <w:p w:rsidR="00F10B6B" w:rsidRPr="00F10B6B" w:rsidRDefault="00F10B6B" w:rsidP="00DC2E93">
      <w:pPr>
        <w:jc w:val="center"/>
        <w:rPr>
          <w:b/>
          <w:sz w:val="28"/>
          <w:szCs w:val="28"/>
          <w:lang w:val="en-US"/>
        </w:rPr>
      </w:pPr>
    </w:p>
    <w:p w:rsidR="00487B69" w:rsidRPr="00DB459A" w:rsidRDefault="00301D44" w:rsidP="00601157">
      <w:pPr>
        <w:jc w:val="center"/>
        <w:rPr>
          <w:b/>
          <w:sz w:val="28"/>
          <w:szCs w:val="28"/>
          <w:lang w:val="uk-UA"/>
        </w:rPr>
      </w:pP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</w:t>
      </w:r>
      <w:r w:rsidRPr="009804CF">
        <w:rPr>
          <w:b/>
          <w:sz w:val="28"/>
          <w:szCs w:val="28"/>
        </w:rPr>
        <w:t xml:space="preserve">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sectPr w:rsidR="00487B69" w:rsidRPr="00DB459A" w:rsidSect="00F43FA0">
      <w:headerReference w:type="even" r:id="rId7"/>
      <w:headerReference w:type="default" r:id="rId8"/>
      <w:footerReference w:type="default" r:id="rId9"/>
      <w:pgSz w:w="16840" w:h="11907" w:orient="landscape" w:code="9"/>
      <w:pgMar w:top="1268" w:right="758" w:bottom="567" w:left="1134" w:header="720" w:footer="720" w:gutter="0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963" w:rsidRDefault="00311963">
      <w:r>
        <w:separator/>
      </w:r>
    </w:p>
  </w:endnote>
  <w:endnote w:type="continuationSeparator" w:id="0">
    <w:p w:rsidR="00311963" w:rsidRDefault="0031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A0C" w:rsidRDefault="00657A0C">
    <w:pPr>
      <w:pStyle w:val="a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963" w:rsidRDefault="00311963">
      <w:r>
        <w:separator/>
      </w:r>
    </w:p>
  </w:footnote>
  <w:footnote w:type="continuationSeparator" w:id="0">
    <w:p w:rsidR="00311963" w:rsidRDefault="00311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A0C" w:rsidRDefault="00657A0C" w:rsidP="00581A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7A0C" w:rsidRDefault="00657A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A0C" w:rsidRDefault="00657A0C" w:rsidP="00581A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15E7">
      <w:rPr>
        <w:rStyle w:val="a5"/>
        <w:noProof/>
      </w:rPr>
      <w:t>3</w:t>
    </w:r>
    <w:r>
      <w:rPr>
        <w:rStyle w:val="a5"/>
      </w:rPr>
      <w:fldChar w:fldCharType="end"/>
    </w:r>
  </w:p>
  <w:p w:rsidR="00657A0C" w:rsidRDefault="00657A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EFC2840"/>
    <w:lvl w:ilvl="0">
      <w:numFmt w:val="decimal"/>
      <w:lvlText w:val="*"/>
      <w:lvlJc w:val="left"/>
    </w:lvl>
  </w:abstractNum>
  <w:abstractNum w:abstractNumId="1" w15:restartNumberingAfterBreak="0">
    <w:nsid w:val="04C22B85"/>
    <w:multiLevelType w:val="multilevel"/>
    <w:tmpl w:val="95789728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14988"/>
    <w:multiLevelType w:val="hybridMultilevel"/>
    <w:tmpl w:val="734A5C66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4" w15:restartNumberingAfterBreak="0">
    <w:nsid w:val="0A0B70DF"/>
    <w:multiLevelType w:val="hybridMultilevel"/>
    <w:tmpl w:val="6C103F5E"/>
    <w:lvl w:ilvl="0" w:tplc="B986E5D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4095E"/>
    <w:multiLevelType w:val="hybridMultilevel"/>
    <w:tmpl w:val="36A827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B103C"/>
    <w:multiLevelType w:val="hybridMultilevel"/>
    <w:tmpl w:val="FCC2687C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7" w15:restartNumberingAfterBreak="0">
    <w:nsid w:val="24A511E7"/>
    <w:multiLevelType w:val="hybridMultilevel"/>
    <w:tmpl w:val="1A7EB992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8" w15:restartNumberingAfterBreak="0">
    <w:nsid w:val="27E36D07"/>
    <w:multiLevelType w:val="hybridMultilevel"/>
    <w:tmpl w:val="0824AC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2E0C459A"/>
    <w:multiLevelType w:val="hybridMultilevel"/>
    <w:tmpl w:val="E2AED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67690"/>
    <w:multiLevelType w:val="hybridMultilevel"/>
    <w:tmpl w:val="697632F2"/>
    <w:lvl w:ilvl="0" w:tplc="11F07A96">
      <w:start w:val="1"/>
      <w:numFmt w:val="decimal"/>
      <w:lvlText w:val="%1."/>
      <w:lvlJc w:val="left"/>
      <w:pPr>
        <w:tabs>
          <w:tab w:val="num" w:pos="1476"/>
        </w:tabs>
        <w:ind w:left="1476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1" w15:restartNumberingAfterBreak="0">
    <w:nsid w:val="4A0B4B91"/>
    <w:multiLevelType w:val="hybridMultilevel"/>
    <w:tmpl w:val="9CB8E994"/>
    <w:lvl w:ilvl="0" w:tplc="041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2" w15:restartNumberingAfterBreak="0">
    <w:nsid w:val="4E5D0263"/>
    <w:multiLevelType w:val="hybridMultilevel"/>
    <w:tmpl w:val="5DF0252E"/>
    <w:lvl w:ilvl="0" w:tplc="0419000F">
      <w:start w:val="1"/>
      <w:numFmt w:val="decimal"/>
      <w:lvlText w:val="%1."/>
      <w:lvlJc w:val="left"/>
      <w:pPr>
        <w:tabs>
          <w:tab w:val="num" w:pos="1655"/>
        </w:tabs>
        <w:ind w:left="16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3" w15:restartNumberingAfterBreak="0">
    <w:nsid w:val="51C54468"/>
    <w:multiLevelType w:val="hybridMultilevel"/>
    <w:tmpl w:val="D2AC9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86BA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158F0"/>
    <w:multiLevelType w:val="hybridMultilevel"/>
    <w:tmpl w:val="95789728"/>
    <w:lvl w:ilvl="0" w:tplc="52CA707A">
      <w:start w:val="1"/>
      <w:numFmt w:val="decimal"/>
      <w:lvlText w:val="%1."/>
      <w:lvlJc w:val="left"/>
      <w:pPr>
        <w:tabs>
          <w:tab w:val="num" w:pos="996"/>
        </w:tabs>
        <w:ind w:left="99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C6BBF"/>
    <w:multiLevelType w:val="multilevel"/>
    <w:tmpl w:val="C26A1038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7" w15:restartNumberingAfterBreak="0">
    <w:nsid w:val="706D53D8"/>
    <w:multiLevelType w:val="hybridMultilevel"/>
    <w:tmpl w:val="B78ACD20"/>
    <w:lvl w:ilvl="0" w:tplc="032851A0">
      <w:start w:val="2019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3"/>
  </w:num>
  <w:num w:numId="6">
    <w:abstractNumId w:val="12"/>
  </w:num>
  <w:num w:numId="7">
    <w:abstractNumId w:val="11"/>
  </w:num>
  <w:num w:numId="8">
    <w:abstractNumId w:val="5"/>
  </w:num>
  <w:num w:numId="9">
    <w:abstractNumId w:val="10"/>
  </w:num>
  <w:num w:numId="10">
    <w:abstractNumId w:val="14"/>
  </w:num>
  <w:num w:numId="11">
    <w:abstractNumId w:val="1"/>
  </w:num>
  <w:num w:numId="12">
    <w:abstractNumId w:val="13"/>
  </w:num>
  <w:num w:numId="13">
    <w:abstractNumId w:val="4"/>
  </w:num>
  <w:num w:numId="14">
    <w:abstractNumId w:val="8"/>
  </w:num>
  <w:num w:numId="15">
    <w:abstractNumId w:val="15"/>
  </w:num>
  <w:num w:numId="16">
    <w:abstractNumId w:val="16"/>
  </w:num>
  <w:num w:numId="17">
    <w:abstractNumId w:val="17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69"/>
    <w:rsid w:val="0001201D"/>
    <w:rsid w:val="000259AD"/>
    <w:rsid w:val="0002641B"/>
    <w:rsid w:val="00040D25"/>
    <w:rsid w:val="0004183A"/>
    <w:rsid w:val="000437D2"/>
    <w:rsid w:val="000449CF"/>
    <w:rsid w:val="000454C8"/>
    <w:rsid w:val="00045F37"/>
    <w:rsid w:val="00046585"/>
    <w:rsid w:val="000466B3"/>
    <w:rsid w:val="000576E4"/>
    <w:rsid w:val="0006327E"/>
    <w:rsid w:val="00085F01"/>
    <w:rsid w:val="000864D5"/>
    <w:rsid w:val="000975CB"/>
    <w:rsid w:val="000A50C2"/>
    <w:rsid w:val="000B10BF"/>
    <w:rsid w:val="000B1152"/>
    <w:rsid w:val="000B12AD"/>
    <w:rsid w:val="000B1A15"/>
    <w:rsid w:val="000B5C3E"/>
    <w:rsid w:val="000B647B"/>
    <w:rsid w:val="000D5B7B"/>
    <w:rsid w:val="000F72E9"/>
    <w:rsid w:val="000F76B3"/>
    <w:rsid w:val="00107E5C"/>
    <w:rsid w:val="001123E2"/>
    <w:rsid w:val="00122F29"/>
    <w:rsid w:val="0013061F"/>
    <w:rsid w:val="00131CA1"/>
    <w:rsid w:val="00137954"/>
    <w:rsid w:val="00144447"/>
    <w:rsid w:val="00150BF9"/>
    <w:rsid w:val="001518D5"/>
    <w:rsid w:val="00160C1D"/>
    <w:rsid w:val="00162172"/>
    <w:rsid w:val="001670BA"/>
    <w:rsid w:val="00173EDC"/>
    <w:rsid w:val="001815E5"/>
    <w:rsid w:val="00191333"/>
    <w:rsid w:val="00193C73"/>
    <w:rsid w:val="001B3277"/>
    <w:rsid w:val="001C78CE"/>
    <w:rsid w:val="001D2171"/>
    <w:rsid w:val="00203451"/>
    <w:rsid w:val="00203F55"/>
    <w:rsid w:val="00204973"/>
    <w:rsid w:val="00205A7F"/>
    <w:rsid w:val="002071DB"/>
    <w:rsid w:val="00221979"/>
    <w:rsid w:val="002307B9"/>
    <w:rsid w:val="0024005C"/>
    <w:rsid w:val="00255470"/>
    <w:rsid w:val="0028575E"/>
    <w:rsid w:val="0029072F"/>
    <w:rsid w:val="002B1FD6"/>
    <w:rsid w:val="002B4E94"/>
    <w:rsid w:val="002B69F1"/>
    <w:rsid w:val="002C402C"/>
    <w:rsid w:val="002C7EED"/>
    <w:rsid w:val="002F0C03"/>
    <w:rsid w:val="002F3EDF"/>
    <w:rsid w:val="00300C41"/>
    <w:rsid w:val="00300EEA"/>
    <w:rsid w:val="00301D44"/>
    <w:rsid w:val="00303790"/>
    <w:rsid w:val="00311963"/>
    <w:rsid w:val="00320EA5"/>
    <w:rsid w:val="003251E3"/>
    <w:rsid w:val="00333116"/>
    <w:rsid w:val="00333CBF"/>
    <w:rsid w:val="00333E70"/>
    <w:rsid w:val="003357D1"/>
    <w:rsid w:val="00335E19"/>
    <w:rsid w:val="00344756"/>
    <w:rsid w:val="003458C7"/>
    <w:rsid w:val="00352622"/>
    <w:rsid w:val="003535DC"/>
    <w:rsid w:val="00374027"/>
    <w:rsid w:val="00374EA9"/>
    <w:rsid w:val="003757E5"/>
    <w:rsid w:val="00392DB3"/>
    <w:rsid w:val="00393363"/>
    <w:rsid w:val="00396D27"/>
    <w:rsid w:val="00397E18"/>
    <w:rsid w:val="003A20B8"/>
    <w:rsid w:val="003A5EC5"/>
    <w:rsid w:val="003B189F"/>
    <w:rsid w:val="003B28F6"/>
    <w:rsid w:val="003B37D5"/>
    <w:rsid w:val="003C0D04"/>
    <w:rsid w:val="003D3E78"/>
    <w:rsid w:val="003F0E47"/>
    <w:rsid w:val="003F431A"/>
    <w:rsid w:val="003F67B1"/>
    <w:rsid w:val="003F71F9"/>
    <w:rsid w:val="00403EA7"/>
    <w:rsid w:val="00405C6F"/>
    <w:rsid w:val="004069D2"/>
    <w:rsid w:val="004077F4"/>
    <w:rsid w:val="00431D2C"/>
    <w:rsid w:val="00432D61"/>
    <w:rsid w:val="0043595B"/>
    <w:rsid w:val="00452F86"/>
    <w:rsid w:val="004530B4"/>
    <w:rsid w:val="004619A9"/>
    <w:rsid w:val="00461C9B"/>
    <w:rsid w:val="00472E3E"/>
    <w:rsid w:val="00480633"/>
    <w:rsid w:val="00487B69"/>
    <w:rsid w:val="00494A3A"/>
    <w:rsid w:val="0049634E"/>
    <w:rsid w:val="00496A85"/>
    <w:rsid w:val="004A1D0E"/>
    <w:rsid w:val="004A1FEB"/>
    <w:rsid w:val="004A644D"/>
    <w:rsid w:val="004B100D"/>
    <w:rsid w:val="004B6F94"/>
    <w:rsid w:val="004C359F"/>
    <w:rsid w:val="004C4836"/>
    <w:rsid w:val="004E3366"/>
    <w:rsid w:val="004F79DD"/>
    <w:rsid w:val="005128AA"/>
    <w:rsid w:val="005152F0"/>
    <w:rsid w:val="005220EF"/>
    <w:rsid w:val="005250E9"/>
    <w:rsid w:val="00534BDB"/>
    <w:rsid w:val="005372E0"/>
    <w:rsid w:val="00551E48"/>
    <w:rsid w:val="00560142"/>
    <w:rsid w:val="00571DAD"/>
    <w:rsid w:val="00576245"/>
    <w:rsid w:val="00581AF6"/>
    <w:rsid w:val="00585377"/>
    <w:rsid w:val="00592A4A"/>
    <w:rsid w:val="00594AF2"/>
    <w:rsid w:val="005A437B"/>
    <w:rsid w:val="005C13DD"/>
    <w:rsid w:val="005C1ADA"/>
    <w:rsid w:val="005E17D3"/>
    <w:rsid w:val="005E267A"/>
    <w:rsid w:val="00601157"/>
    <w:rsid w:val="00605673"/>
    <w:rsid w:val="006210B9"/>
    <w:rsid w:val="006217CB"/>
    <w:rsid w:val="00633D74"/>
    <w:rsid w:val="00644CEF"/>
    <w:rsid w:val="00653A66"/>
    <w:rsid w:val="00657A0C"/>
    <w:rsid w:val="00662D96"/>
    <w:rsid w:val="00665CB8"/>
    <w:rsid w:val="00666BF5"/>
    <w:rsid w:val="0067714B"/>
    <w:rsid w:val="00693614"/>
    <w:rsid w:val="006949FB"/>
    <w:rsid w:val="00695152"/>
    <w:rsid w:val="006A2D97"/>
    <w:rsid w:val="006A5551"/>
    <w:rsid w:val="006B5E94"/>
    <w:rsid w:val="006B772B"/>
    <w:rsid w:val="006C63E9"/>
    <w:rsid w:val="006D3E03"/>
    <w:rsid w:val="006E14E5"/>
    <w:rsid w:val="006E208A"/>
    <w:rsid w:val="006F03E9"/>
    <w:rsid w:val="00705C4E"/>
    <w:rsid w:val="0071171F"/>
    <w:rsid w:val="007119E3"/>
    <w:rsid w:val="00714E64"/>
    <w:rsid w:val="00717C23"/>
    <w:rsid w:val="00721F10"/>
    <w:rsid w:val="007239C7"/>
    <w:rsid w:val="0072527B"/>
    <w:rsid w:val="0073014E"/>
    <w:rsid w:val="00730C10"/>
    <w:rsid w:val="007313DF"/>
    <w:rsid w:val="00733D23"/>
    <w:rsid w:val="00751A7A"/>
    <w:rsid w:val="0077552D"/>
    <w:rsid w:val="0077667B"/>
    <w:rsid w:val="00783323"/>
    <w:rsid w:val="007858F7"/>
    <w:rsid w:val="007931E2"/>
    <w:rsid w:val="007B0AAA"/>
    <w:rsid w:val="007C1C0B"/>
    <w:rsid w:val="007C53D1"/>
    <w:rsid w:val="007C6AB9"/>
    <w:rsid w:val="007D5745"/>
    <w:rsid w:val="007F0D5D"/>
    <w:rsid w:val="007F1306"/>
    <w:rsid w:val="007F23C4"/>
    <w:rsid w:val="007F2B9E"/>
    <w:rsid w:val="007F4287"/>
    <w:rsid w:val="008045CF"/>
    <w:rsid w:val="00810CD1"/>
    <w:rsid w:val="00817D60"/>
    <w:rsid w:val="00825251"/>
    <w:rsid w:val="00832358"/>
    <w:rsid w:val="00840739"/>
    <w:rsid w:val="0084440E"/>
    <w:rsid w:val="00844B66"/>
    <w:rsid w:val="0084788A"/>
    <w:rsid w:val="008527F1"/>
    <w:rsid w:val="008566EF"/>
    <w:rsid w:val="00876B0D"/>
    <w:rsid w:val="008B17C9"/>
    <w:rsid w:val="008B3FB3"/>
    <w:rsid w:val="008B6A5A"/>
    <w:rsid w:val="008D4E2B"/>
    <w:rsid w:val="008F2356"/>
    <w:rsid w:val="009126AC"/>
    <w:rsid w:val="00916172"/>
    <w:rsid w:val="0091686C"/>
    <w:rsid w:val="009168A9"/>
    <w:rsid w:val="009178D5"/>
    <w:rsid w:val="009241AF"/>
    <w:rsid w:val="00924AA3"/>
    <w:rsid w:val="0093458F"/>
    <w:rsid w:val="00936E1C"/>
    <w:rsid w:val="00941053"/>
    <w:rsid w:val="00944BEF"/>
    <w:rsid w:val="0094502C"/>
    <w:rsid w:val="009470B6"/>
    <w:rsid w:val="00950217"/>
    <w:rsid w:val="00965C8C"/>
    <w:rsid w:val="0098573A"/>
    <w:rsid w:val="00987C4A"/>
    <w:rsid w:val="009965C9"/>
    <w:rsid w:val="00997A39"/>
    <w:rsid w:val="009A54CE"/>
    <w:rsid w:val="009A6AD6"/>
    <w:rsid w:val="009B69EA"/>
    <w:rsid w:val="009C5CDF"/>
    <w:rsid w:val="009C663E"/>
    <w:rsid w:val="009E04B7"/>
    <w:rsid w:val="00A07A06"/>
    <w:rsid w:val="00A27897"/>
    <w:rsid w:val="00A31138"/>
    <w:rsid w:val="00A40243"/>
    <w:rsid w:val="00A429F8"/>
    <w:rsid w:val="00A44C09"/>
    <w:rsid w:val="00A519F9"/>
    <w:rsid w:val="00A5342E"/>
    <w:rsid w:val="00A537FE"/>
    <w:rsid w:val="00A66AEB"/>
    <w:rsid w:val="00A737AD"/>
    <w:rsid w:val="00A91D13"/>
    <w:rsid w:val="00A9300F"/>
    <w:rsid w:val="00AA2845"/>
    <w:rsid w:val="00AB1870"/>
    <w:rsid w:val="00AB45CA"/>
    <w:rsid w:val="00AB487C"/>
    <w:rsid w:val="00AC005C"/>
    <w:rsid w:val="00AC1159"/>
    <w:rsid w:val="00AC5F6A"/>
    <w:rsid w:val="00AD2217"/>
    <w:rsid w:val="00AD3264"/>
    <w:rsid w:val="00AD378D"/>
    <w:rsid w:val="00AD4A59"/>
    <w:rsid w:val="00AD797F"/>
    <w:rsid w:val="00AD7BD6"/>
    <w:rsid w:val="00AE2134"/>
    <w:rsid w:val="00AE5AB2"/>
    <w:rsid w:val="00AF4D40"/>
    <w:rsid w:val="00B01E8F"/>
    <w:rsid w:val="00B03559"/>
    <w:rsid w:val="00B04E36"/>
    <w:rsid w:val="00B151C3"/>
    <w:rsid w:val="00B2147E"/>
    <w:rsid w:val="00B2231A"/>
    <w:rsid w:val="00B326AB"/>
    <w:rsid w:val="00B33E09"/>
    <w:rsid w:val="00B34B95"/>
    <w:rsid w:val="00B4183F"/>
    <w:rsid w:val="00B50F5E"/>
    <w:rsid w:val="00B53B46"/>
    <w:rsid w:val="00B56139"/>
    <w:rsid w:val="00B60571"/>
    <w:rsid w:val="00B62BF8"/>
    <w:rsid w:val="00B668C7"/>
    <w:rsid w:val="00B80442"/>
    <w:rsid w:val="00B843FB"/>
    <w:rsid w:val="00B86631"/>
    <w:rsid w:val="00B87C50"/>
    <w:rsid w:val="00B87EF2"/>
    <w:rsid w:val="00B93010"/>
    <w:rsid w:val="00B95C29"/>
    <w:rsid w:val="00BA70FE"/>
    <w:rsid w:val="00BA7795"/>
    <w:rsid w:val="00BA7E8B"/>
    <w:rsid w:val="00BC4F6B"/>
    <w:rsid w:val="00BE15E7"/>
    <w:rsid w:val="00BE435B"/>
    <w:rsid w:val="00BE475D"/>
    <w:rsid w:val="00C0174F"/>
    <w:rsid w:val="00C07924"/>
    <w:rsid w:val="00C07A6F"/>
    <w:rsid w:val="00C106DC"/>
    <w:rsid w:val="00C12603"/>
    <w:rsid w:val="00C1362B"/>
    <w:rsid w:val="00C15411"/>
    <w:rsid w:val="00C175DA"/>
    <w:rsid w:val="00C20BCC"/>
    <w:rsid w:val="00C36790"/>
    <w:rsid w:val="00C454DA"/>
    <w:rsid w:val="00C526CC"/>
    <w:rsid w:val="00C5513F"/>
    <w:rsid w:val="00C61293"/>
    <w:rsid w:val="00C73236"/>
    <w:rsid w:val="00C74553"/>
    <w:rsid w:val="00C7684D"/>
    <w:rsid w:val="00C775D6"/>
    <w:rsid w:val="00C77C38"/>
    <w:rsid w:val="00C96034"/>
    <w:rsid w:val="00CA6EBA"/>
    <w:rsid w:val="00CB048C"/>
    <w:rsid w:val="00CB0652"/>
    <w:rsid w:val="00CC55A2"/>
    <w:rsid w:val="00CC7A83"/>
    <w:rsid w:val="00CE1DE9"/>
    <w:rsid w:val="00CE292B"/>
    <w:rsid w:val="00CE7864"/>
    <w:rsid w:val="00CF4C87"/>
    <w:rsid w:val="00CF58FE"/>
    <w:rsid w:val="00CF6616"/>
    <w:rsid w:val="00D02451"/>
    <w:rsid w:val="00D114D6"/>
    <w:rsid w:val="00D14299"/>
    <w:rsid w:val="00D21213"/>
    <w:rsid w:val="00D30B00"/>
    <w:rsid w:val="00D30E44"/>
    <w:rsid w:val="00D34CC5"/>
    <w:rsid w:val="00D350CA"/>
    <w:rsid w:val="00D35829"/>
    <w:rsid w:val="00D41232"/>
    <w:rsid w:val="00D433FF"/>
    <w:rsid w:val="00D4514E"/>
    <w:rsid w:val="00D61051"/>
    <w:rsid w:val="00D62D13"/>
    <w:rsid w:val="00D6618A"/>
    <w:rsid w:val="00D676E9"/>
    <w:rsid w:val="00D70F85"/>
    <w:rsid w:val="00D82E84"/>
    <w:rsid w:val="00D84E53"/>
    <w:rsid w:val="00D864B9"/>
    <w:rsid w:val="00D90DBE"/>
    <w:rsid w:val="00D91AAE"/>
    <w:rsid w:val="00DB05EC"/>
    <w:rsid w:val="00DB459A"/>
    <w:rsid w:val="00DC2E93"/>
    <w:rsid w:val="00DC321B"/>
    <w:rsid w:val="00DC3A0D"/>
    <w:rsid w:val="00DD75CA"/>
    <w:rsid w:val="00DE12CF"/>
    <w:rsid w:val="00DE6D0B"/>
    <w:rsid w:val="00DF010C"/>
    <w:rsid w:val="00DF30CB"/>
    <w:rsid w:val="00DF6C6A"/>
    <w:rsid w:val="00E00DB3"/>
    <w:rsid w:val="00E0157D"/>
    <w:rsid w:val="00E02262"/>
    <w:rsid w:val="00E028FC"/>
    <w:rsid w:val="00E067F3"/>
    <w:rsid w:val="00E12F6D"/>
    <w:rsid w:val="00E17F30"/>
    <w:rsid w:val="00E257E6"/>
    <w:rsid w:val="00E3136A"/>
    <w:rsid w:val="00E35386"/>
    <w:rsid w:val="00E42671"/>
    <w:rsid w:val="00E4379A"/>
    <w:rsid w:val="00E4445E"/>
    <w:rsid w:val="00E5377F"/>
    <w:rsid w:val="00E61977"/>
    <w:rsid w:val="00E64A4A"/>
    <w:rsid w:val="00E741A0"/>
    <w:rsid w:val="00E747F2"/>
    <w:rsid w:val="00E80279"/>
    <w:rsid w:val="00E87AF1"/>
    <w:rsid w:val="00E91869"/>
    <w:rsid w:val="00E97C12"/>
    <w:rsid w:val="00EA0644"/>
    <w:rsid w:val="00EA7401"/>
    <w:rsid w:val="00EB2D4B"/>
    <w:rsid w:val="00EB37D2"/>
    <w:rsid w:val="00EE3F0A"/>
    <w:rsid w:val="00EE7D69"/>
    <w:rsid w:val="00F1007E"/>
    <w:rsid w:val="00F10B6B"/>
    <w:rsid w:val="00F11A5E"/>
    <w:rsid w:val="00F20022"/>
    <w:rsid w:val="00F23B76"/>
    <w:rsid w:val="00F27C6C"/>
    <w:rsid w:val="00F348A2"/>
    <w:rsid w:val="00F3627D"/>
    <w:rsid w:val="00F43FA0"/>
    <w:rsid w:val="00F524E0"/>
    <w:rsid w:val="00F61F2D"/>
    <w:rsid w:val="00F64BE1"/>
    <w:rsid w:val="00F72BC4"/>
    <w:rsid w:val="00F74930"/>
    <w:rsid w:val="00F774A4"/>
    <w:rsid w:val="00F853A0"/>
    <w:rsid w:val="00F96570"/>
    <w:rsid w:val="00FA05C6"/>
    <w:rsid w:val="00FA2A2F"/>
    <w:rsid w:val="00FA3D0D"/>
    <w:rsid w:val="00FA5C9A"/>
    <w:rsid w:val="00FA7AFB"/>
    <w:rsid w:val="00FC04DE"/>
    <w:rsid w:val="00FC1CF6"/>
    <w:rsid w:val="00FC405A"/>
    <w:rsid w:val="00FD38BA"/>
    <w:rsid w:val="00FE0A18"/>
    <w:rsid w:val="00FE4F38"/>
    <w:rsid w:val="00FE59C3"/>
    <w:rsid w:val="00FF30A1"/>
    <w:rsid w:val="00FF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64801-6E0A-4D70-A349-EFD8F58B1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pPr>
      <w:keepNext/>
      <w:shd w:val="clear" w:color="auto" w:fill="FFFFFF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qFormat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pPr>
      <w:keepNext/>
      <w:shd w:val="clear" w:color="auto" w:fill="FFFFFF"/>
      <w:jc w:val="right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qFormat/>
    <w:pPr>
      <w:keepNext/>
      <w:shd w:val="clear" w:color="auto" w:fill="FFFFFF"/>
      <w:jc w:val="both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color w:val="FF0000"/>
      <w:sz w:val="28"/>
      <w:szCs w:val="28"/>
      <w:lang w:val="uk-UA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1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1">
    <w:name w:val="Char Знак Знак Char Знак Знак Char Знак Знак Char Знак Знак Знак Знак Знак Знак1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a6">
    <w:name w:val="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">
    <w:name w:val=" Char Знак Знак Char Знак Знак Char Знак Знак Char Знак Знак"/>
    <w:basedOn w:val="a"/>
    <w:pPr>
      <w:widowControl/>
      <w:autoSpaceDE/>
      <w:autoSpaceDN/>
      <w:adjustRightInd/>
      <w:ind w:firstLine="540"/>
    </w:pPr>
    <w:rPr>
      <w:rFonts w:ascii="Verdana" w:hAnsi="Verdana"/>
      <w:b/>
      <w:lang w:val="en-US" w:eastAsia="en-US"/>
    </w:rPr>
  </w:style>
  <w:style w:type="paragraph" w:customStyle="1" w:styleId="CharCharCharChar0">
    <w:name w:val="Char Знак Знак Char Знак Знак Char Знак Знак Char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2">
    <w:name w:val="Char Знак Знак Char Знак Знак Char Знак Знак Char Знак Знак Знак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3">
    <w:name w:val="Char Знак Знак Char Знак Знак Char Знак Знак Char Знак Знак Знак Знак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10">
    <w:name w:val="Char Знак Знак Char Знак Знак Char Знак Знак Char Знак Знак Знак Знак Знак Знак1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Normal (Web)"/>
    <w:aliases w:val="Обычный (Web)1,Обычный (Web)11,Обычный (веб)1,Обычный (веб)2,Звичайний (веб) Знак,Звичайний (веб) Знак Знак,Звичайний (веб) Знак Знак Знак,Знак31,Обычный (Web) Знак Знак,Обычный (Web)1 Знак Знак Знак,Обычный (веб) Знак,Знак1 Знак,Знак1,Зна"/>
    <w:basedOn w:val="a"/>
    <w:link w:val="1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0">
    <w:name w:val="Обычный (веб)3"/>
    <w:basedOn w:val="a"/>
    <w:pPr>
      <w:widowControl/>
      <w:autoSpaceDE/>
      <w:autoSpaceDN/>
      <w:adjustRightInd/>
      <w:spacing w:after="384" w:line="360" w:lineRule="atLeast"/>
    </w:pPr>
    <w:rPr>
      <w:sz w:val="24"/>
      <w:szCs w:val="24"/>
    </w:rPr>
  </w:style>
  <w:style w:type="character" w:styleId="a8">
    <w:name w:val="Strong"/>
    <w:qFormat/>
    <w:rPr>
      <w:b/>
      <w:bCs/>
    </w:rPr>
  </w:style>
  <w:style w:type="paragraph" w:styleId="a9">
    <w:name w:val="Body Text Indent"/>
    <w:basedOn w:val="a"/>
    <w:pPr>
      <w:tabs>
        <w:tab w:val="num" w:pos="936"/>
      </w:tabs>
      <w:ind w:firstLine="858"/>
      <w:jc w:val="both"/>
    </w:pPr>
    <w:rPr>
      <w:sz w:val="28"/>
      <w:szCs w:val="28"/>
      <w:lang w:val="uk-UA"/>
    </w:rPr>
  </w:style>
  <w:style w:type="paragraph" w:customStyle="1" w:styleId="CharCharCharChar4">
    <w:name w:val="Char Знак Знак Char Знак Знак Char Знак Знак Char Знак Знак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harCharCharChar11">
    <w:name w:val="Char Знак Знак Char Знак Знак Char Знак Знак Char Знак Знак Знак Знак Знак Знак1 Знак Знак Знак Знак Знак Знак Знак"/>
    <w:basedOn w:val="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pPr>
      <w:shd w:val="clear" w:color="auto" w:fill="FFFFFF"/>
      <w:ind w:firstLine="561"/>
      <w:jc w:val="both"/>
    </w:pPr>
    <w:rPr>
      <w:color w:val="FF0000"/>
      <w:sz w:val="28"/>
      <w:szCs w:val="28"/>
      <w:lang w:val="uk-UA"/>
    </w:rPr>
  </w:style>
  <w:style w:type="paragraph" w:styleId="ab">
    <w:name w:val="Body Text"/>
    <w:basedOn w:val="a"/>
    <w:pPr>
      <w:shd w:val="clear" w:color="auto" w:fill="FFFFFF"/>
      <w:jc w:val="both"/>
    </w:pPr>
    <w:rPr>
      <w:color w:val="FF0000"/>
      <w:sz w:val="28"/>
      <w:szCs w:val="28"/>
      <w:lang w:val="uk-UA"/>
    </w:rPr>
  </w:style>
  <w:style w:type="paragraph" w:styleId="31">
    <w:name w:val="Body Text Indent 3"/>
    <w:basedOn w:val="a"/>
    <w:pPr>
      <w:ind w:firstLine="561"/>
      <w:jc w:val="both"/>
    </w:pPr>
    <w:rPr>
      <w:spacing w:val="4"/>
      <w:sz w:val="28"/>
      <w:szCs w:val="28"/>
      <w:lang w:val="uk-UA"/>
    </w:rPr>
  </w:style>
  <w:style w:type="paragraph" w:styleId="21">
    <w:name w:val="Body Text 2"/>
    <w:basedOn w:val="a"/>
    <w:pPr>
      <w:shd w:val="clear" w:color="auto" w:fill="FFFFFF"/>
      <w:jc w:val="both"/>
    </w:pPr>
    <w:rPr>
      <w:sz w:val="28"/>
      <w:szCs w:val="28"/>
      <w:lang w:val="uk-UA"/>
    </w:rPr>
  </w:style>
  <w:style w:type="paragraph" w:customStyle="1" w:styleId="Normal">
    <w:name w:val="Normal"/>
    <w:rsid w:val="00C96034"/>
    <w:rPr>
      <w:sz w:val="28"/>
      <w:lang w:eastAsia="ru-RU"/>
    </w:rPr>
  </w:style>
  <w:style w:type="character" w:customStyle="1" w:styleId="11">
    <w:name w:val="Заголовок №1_"/>
    <w:link w:val="12"/>
    <w:rsid w:val="00585377"/>
    <w:rPr>
      <w:sz w:val="26"/>
      <w:szCs w:val="26"/>
      <w:lang w:bidi="ar-SA"/>
    </w:rPr>
  </w:style>
  <w:style w:type="character" w:customStyle="1" w:styleId="ac">
    <w:name w:val="Основний текст_"/>
    <w:link w:val="13"/>
    <w:rsid w:val="00585377"/>
    <w:rPr>
      <w:sz w:val="27"/>
      <w:szCs w:val="27"/>
      <w:lang w:bidi="ar-SA"/>
    </w:rPr>
  </w:style>
  <w:style w:type="paragraph" w:customStyle="1" w:styleId="12">
    <w:name w:val="Заголовок №1"/>
    <w:basedOn w:val="a"/>
    <w:link w:val="11"/>
    <w:rsid w:val="00585377"/>
    <w:pPr>
      <w:widowControl/>
      <w:shd w:val="clear" w:color="auto" w:fill="FFFFFF"/>
      <w:autoSpaceDE/>
      <w:autoSpaceDN/>
      <w:adjustRightInd/>
      <w:spacing w:after="180" w:line="0" w:lineRule="atLeast"/>
      <w:outlineLvl w:val="0"/>
    </w:pPr>
    <w:rPr>
      <w:sz w:val="26"/>
      <w:szCs w:val="26"/>
      <w:lang w:val="en-US" w:eastAsia="en-US"/>
    </w:rPr>
  </w:style>
  <w:style w:type="paragraph" w:customStyle="1" w:styleId="13">
    <w:name w:val="Основний текст1"/>
    <w:basedOn w:val="a"/>
    <w:link w:val="ac"/>
    <w:rsid w:val="00585377"/>
    <w:pPr>
      <w:widowControl/>
      <w:shd w:val="clear" w:color="auto" w:fill="FFFFFF"/>
      <w:autoSpaceDE/>
      <w:autoSpaceDN/>
      <w:adjustRightInd/>
      <w:spacing w:before="180" w:line="317" w:lineRule="exact"/>
      <w:ind w:hanging="240"/>
      <w:jc w:val="both"/>
    </w:pPr>
    <w:rPr>
      <w:sz w:val="27"/>
      <w:szCs w:val="27"/>
      <w:lang w:val="en-US" w:eastAsia="en-US"/>
    </w:rPr>
  </w:style>
  <w:style w:type="character" w:customStyle="1" w:styleId="10">
    <w:name w:val="Обычный (веб) Знак1"/>
    <w:aliases w:val="Обычный (Web)1 Знак,Обычный (Web)11 Знак,Обычный (веб)1 Знак,Обычный (веб)2 Знак,Звичайний (веб) Знак Знак1,Звичайний (веб) Знак Знак Знак1,Звичайний (веб) Знак Знак Знак Знак,Знак31 Знак,Обычный (Web) Знак Знак Знак,Знак1 Знак Знак"/>
    <w:link w:val="a7"/>
    <w:locked/>
    <w:rsid w:val="005152F0"/>
    <w:rPr>
      <w:sz w:val="24"/>
      <w:szCs w:val="24"/>
      <w:lang w:val="ru-RU" w:eastAsia="ru-RU" w:bidi="ar-SA"/>
    </w:rPr>
  </w:style>
  <w:style w:type="table" w:styleId="ad">
    <w:name w:val="Table Grid"/>
    <w:basedOn w:val="a1"/>
    <w:rsid w:val="00DC2E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5C1AD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ListParagraph">
    <w:name w:val="List Paragraph"/>
    <w:basedOn w:val="a"/>
    <w:rsid w:val="00F74930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paragraph" w:styleId="HTML">
    <w:name w:val="HTML Preformatted"/>
    <w:basedOn w:val="a"/>
    <w:link w:val="HTML0"/>
    <w:rsid w:val="00810C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MS Mincho" w:hAnsi="Courier New" w:cs="Courier New"/>
      <w:lang w:eastAsia="ja-JP"/>
    </w:rPr>
  </w:style>
  <w:style w:type="character" w:customStyle="1" w:styleId="HTML0">
    <w:name w:val="Стандартный HTML Знак"/>
    <w:link w:val="HTML"/>
    <w:locked/>
    <w:rsid w:val="00810CD1"/>
    <w:rPr>
      <w:rFonts w:ascii="Courier New" w:eastAsia="MS Mincho" w:hAnsi="Courier New" w:cs="Courier New"/>
      <w:lang w:val="ru-RU" w:eastAsia="ja-JP" w:bidi="ar-SA"/>
    </w:rPr>
  </w:style>
  <w:style w:type="paragraph" w:styleId="af">
    <w:name w:val="Document Map"/>
    <w:basedOn w:val="a"/>
    <w:semiHidden/>
    <w:rsid w:val="0020345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dpa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/>
  <dc:creator>1</dc:creator>
  <cp:keywords/>
  <dc:description/>
  <cp:lastModifiedBy>kompvid2</cp:lastModifiedBy>
  <cp:revision>2</cp:revision>
  <cp:lastPrinted>2019-03-12T08:45:00Z</cp:lastPrinted>
  <dcterms:created xsi:type="dcterms:W3CDTF">2019-07-18T06:54:00Z</dcterms:created>
  <dcterms:modified xsi:type="dcterms:W3CDTF">2019-07-18T06:54:00Z</dcterms:modified>
</cp:coreProperties>
</file>