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7C6" w:rsidRDefault="009107C6" w:rsidP="009107C6">
      <w:pPr>
        <w:pStyle w:val="Default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Додаток </w:t>
      </w:r>
    </w:p>
    <w:p w:rsidR="009107C6" w:rsidRDefault="009107C6" w:rsidP="009107C6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рішення міської ради </w:t>
      </w:r>
    </w:p>
    <w:p w:rsidR="009107C6" w:rsidRPr="00897BB8" w:rsidRDefault="009107C6" w:rsidP="009107C6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від 20.12.2018 № </w:t>
      </w:r>
      <w:r w:rsidR="00897BB8">
        <w:rPr>
          <w:sz w:val="28"/>
          <w:szCs w:val="28"/>
          <w:lang w:val="ru-RU"/>
        </w:rPr>
        <w:t>1577</w:t>
      </w:r>
    </w:p>
    <w:p w:rsidR="001816D9" w:rsidRDefault="001816D9" w:rsidP="009107C6">
      <w:pPr>
        <w:jc w:val="right"/>
        <w:rPr>
          <w:b/>
          <w:sz w:val="28"/>
          <w:szCs w:val="28"/>
          <w:lang w:val="ru-RU"/>
        </w:rPr>
      </w:pPr>
    </w:p>
    <w:p w:rsidR="00DD72E7" w:rsidRPr="00DA144E" w:rsidRDefault="001A0EAB" w:rsidP="001A0EAB">
      <w:pPr>
        <w:jc w:val="center"/>
        <w:rPr>
          <w:b/>
          <w:sz w:val="28"/>
          <w:szCs w:val="28"/>
          <w:lang w:val="ru-RU"/>
        </w:rPr>
      </w:pPr>
      <w:r w:rsidRPr="00DA144E">
        <w:rPr>
          <w:b/>
          <w:sz w:val="28"/>
          <w:szCs w:val="28"/>
          <w:lang w:val="ru-RU"/>
        </w:rPr>
        <w:t>І</w:t>
      </w:r>
      <w:r w:rsidR="00DA144E">
        <w:rPr>
          <w:b/>
          <w:sz w:val="28"/>
          <w:szCs w:val="28"/>
          <w:lang w:val="ru-RU"/>
        </w:rPr>
        <w:t>нформація</w:t>
      </w:r>
    </w:p>
    <w:p w:rsidR="00DA144E" w:rsidRPr="00DA144E" w:rsidRDefault="00DA144E" w:rsidP="001A0EAB">
      <w:pPr>
        <w:jc w:val="center"/>
        <w:rPr>
          <w:rFonts w:eastAsia="Arial Unicode MS"/>
          <w:b/>
          <w:sz w:val="28"/>
          <w:szCs w:val="28"/>
        </w:rPr>
      </w:pPr>
      <w:r w:rsidRPr="00DA144E">
        <w:rPr>
          <w:b/>
          <w:sz w:val="28"/>
          <w:szCs w:val="28"/>
          <w:lang w:val="ru-RU"/>
        </w:rPr>
        <w:t xml:space="preserve">про </w:t>
      </w:r>
      <w:r w:rsidR="00A41C44">
        <w:rPr>
          <w:b/>
          <w:sz w:val="28"/>
          <w:szCs w:val="28"/>
          <w:lang w:val="ru-RU"/>
        </w:rPr>
        <w:t>результати</w:t>
      </w:r>
      <w:r w:rsidRPr="00DA144E">
        <w:rPr>
          <w:b/>
          <w:sz w:val="28"/>
          <w:szCs w:val="28"/>
          <w:lang w:val="ru-RU"/>
        </w:rPr>
        <w:t xml:space="preserve"> приватизації </w:t>
      </w:r>
      <w:r w:rsidRPr="00DA144E">
        <w:rPr>
          <w:b/>
          <w:sz w:val="28"/>
          <w:szCs w:val="28"/>
        </w:rPr>
        <w:t>об</w:t>
      </w:r>
      <w:r w:rsidRPr="00DA144E">
        <w:rPr>
          <w:rFonts w:eastAsia="Arial Unicode MS"/>
          <w:b/>
          <w:sz w:val="28"/>
          <w:szCs w:val="28"/>
        </w:rPr>
        <w:t xml:space="preserve">’єктів комунальної власності </w:t>
      </w:r>
    </w:p>
    <w:p w:rsidR="00DA144E" w:rsidRPr="00DA144E" w:rsidRDefault="00DA144E" w:rsidP="001A0EAB">
      <w:pPr>
        <w:jc w:val="center"/>
        <w:rPr>
          <w:b/>
          <w:sz w:val="28"/>
          <w:szCs w:val="28"/>
          <w:lang w:val="ru-RU"/>
        </w:rPr>
      </w:pPr>
      <w:r w:rsidRPr="00DA144E">
        <w:rPr>
          <w:rFonts w:eastAsia="Arial Unicode MS"/>
          <w:b/>
          <w:sz w:val="28"/>
          <w:szCs w:val="28"/>
        </w:rPr>
        <w:t>міста Чернівців у 201</w:t>
      </w:r>
      <w:r w:rsidR="00A41C44">
        <w:rPr>
          <w:rFonts w:eastAsia="Arial Unicode MS"/>
          <w:b/>
          <w:sz w:val="28"/>
          <w:szCs w:val="28"/>
        </w:rPr>
        <w:t>8</w:t>
      </w:r>
      <w:r w:rsidRPr="00DA144E">
        <w:rPr>
          <w:rFonts w:eastAsia="Arial Unicode MS"/>
          <w:b/>
          <w:sz w:val="28"/>
          <w:szCs w:val="28"/>
        </w:rPr>
        <w:t xml:space="preserve"> році</w:t>
      </w:r>
    </w:p>
    <w:p w:rsidR="003441A7" w:rsidRDefault="003441A7" w:rsidP="001A0EAB">
      <w:pPr>
        <w:jc w:val="center"/>
        <w:rPr>
          <w:sz w:val="28"/>
          <w:szCs w:val="28"/>
          <w:lang w:val="ru-RU"/>
        </w:rPr>
      </w:pPr>
    </w:p>
    <w:p w:rsidR="000013EA" w:rsidRPr="00F2067C" w:rsidRDefault="000013EA" w:rsidP="001A0EAB">
      <w:pPr>
        <w:jc w:val="center"/>
        <w:rPr>
          <w:sz w:val="16"/>
          <w:szCs w:val="16"/>
          <w:lang w:val="ru-RU"/>
        </w:rPr>
      </w:pPr>
    </w:p>
    <w:p w:rsidR="00803DF5" w:rsidRDefault="009366DC" w:rsidP="000013EA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Реалізу</w:t>
      </w:r>
      <w:r>
        <w:rPr>
          <w:sz w:val="28"/>
          <w:szCs w:val="28"/>
        </w:rPr>
        <w:t xml:space="preserve">ючи повноваження виконавчих органів міської ради в межах визначених радою, у сфері управління майном, що перебуває у комунальній власності територіальної громади міста Чернівці департамент економіки в 2018 році проводив роботу по підвищенню ефективності використання комунального майна, забезпечення надходження коштів від приватизації </w:t>
      </w:r>
      <w:proofErr w:type="gramStart"/>
      <w:r>
        <w:rPr>
          <w:sz w:val="28"/>
          <w:szCs w:val="28"/>
        </w:rPr>
        <w:t>до бюджету</w:t>
      </w:r>
      <w:proofErr w:type="gramEnd"/>
      <w:r>
        <w:rPr>
          <w:sz w:val="28"/>
          <w:szCs w:val="28"/>
        </w:rPr>
        <w:t xml:space="preserve"> розвитку міського бюджету м.</w:t>
      </w:r>
      <w:r w:rsidR="00803DF5">
        <w:rPr>
          <w:sz w:val="28"/>
          <w:szCs w:val="28"/>
        </w:rPr>
        <w:t>Чернівці</w:t>
      </w:r>
      <w:r w:rsidR="00A66DAF">
        <w:rPr>
          <w:sz w:val="28"/>
          <w:szCs w:val="28"/>
        </w:rPr>
        <w:t>в</w:t>
      </w:r>
      <w:r w:rsidR="00803DF5">
        <w:rPr>
          <w:sz w:val="28"/>
          <w:szCs w:val="28"/>
        </w:rPr>
        <w:t>.</w:t>
      </w:r>
    </w:p>
    <w:p w:rsidR="00D54FF7" w:rsidRPr="006F1971" w:rsidRDefault="009366DC" w:rsidP="005C4B20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07486">
        <w:rPr>
          <w:sz w:val="28"/>
          <w:szCs w:val="28"/>
        </w:rPr>
        <w:t>Приватизація об'єктів комунальної власності у 2018 році здійснювалась відповідно до Закону України "Про приватизацію невеликих державних підприємств (малу приватизацію)",</w:t>
      </w:r>
      <w:r w:rsidR="00CD7B66">
        <w:rPr>
          <w:sz w:val="28"/>
          <w:szCs w:val="28"/>
        </w:rPr>
        <w:t xml:space="preserve"> рішень міської ради, інших законодавчих та нормативних актів, які регламентують процеси приватизації в Україні.</w:t>
      </w:r>
      <w:r w:rsidR="00E07486">
        <w:rPr>
          <w:sz w:val="28"/>
          <w:szCs w:val="28"/>
        </w:rPr>
        <w:t xml:space="preserve"> </w:t>
      </w:r>
      <w:r w:rsidR="00D54FF7" w:rsidRPr="006F1971">
        <w:rPr>
          <w:sz w:val="28"/>
          <w:szCs w:val="28"/>
        </w:rPr>
        <w:t>Рішеннями міської ради від 08.12.2017р. №1026 та від 27.12.2017р. №1068 затверджено переліки об’єктів комунальної власності міста Чернівців, що підлягають приватизації  в  2017 – 2018 роках.</w:t>
      </w:r>
    </w:p>
    <w:p w:rsidR="00D54FF7" w:rsidRDefault="00D54FF7" w:rsidP="000013EA">
      <w:pPr>
        <w:pStyle w:val="2"/>
        <w:spacing w:line="240" w:lineRule="auto"/>
        <w:ind w:left="0"/>
        <w:jc w:val="both"/>
        <w:rPr>
          <w:sz w:val="28"/>
          <w:szCs w:val="28"/>
        </w:rPr>
      </w:pPr>
      <w:r>
        <w:rPr>
          <w:szCs w:val="28"/>
        </w:rPr>
        <w:tab/>
      </w:r>
      <w:r w:rsidRPr="006F1971">
        <w:rPr>
          <w:sz w:val="28"/>
          <w:szCs w:val="28"/>
        </w:rPr>
        <w:t xml:space="preserve">До зазначених переліків включено 15 об’єктів, які підлягають приватизації шляхом викупу та 17 об’єктів шляхом продажу </w:t>
      </w:r>
      <w:r w:rsidR="00087A7D">
        <w:rPr>
          <w:sz w:val="28"/>
          <w:szCs w:val="28"/>
        </w:rPr>
        <w:t>на</w:t>
      </w:r>
      <w:r w:rsidRPr="006F1971">
        <w:rPr>
          <w:sz w:val="28"/>
          <w:szCs w:val="28"/>
        </w:rPr>
        <w:t xml:space="preserve"> аукціон</w:t>
      </w:r>
      <w:r w:rsidR="00087A7D">
        <w:rPr>
          <w:sz w:val="28"/>
          <w:szCs w:val="28"/>
        </w:rPr>
        <w:t>і</w:t>
      </w:r>
      <w:r w:rsidRPr="006F1971">
        <w:rPr>
          <w:sz w:val="28"/>
          <w:szCs w:val="28"/>
        </w:rPr>
        <w:t xml:space="preserve">. </w:t>
      </w:r>
    </w:p>
    <w:p w:rsidR="006F1971" w:rsidRPr="006B475D" w:rsidRDefault="006B475D" w:rsidP="00087A7D">
      <w:pPr>
        <w:pStyle w:val="a5"/>
        <w:tabs>
          <w:tab w:val="left" w:pos="0"/>
        </w:tabs>
        <w:jc w:val="both"/>
        <w:rPr>
          <w:szCs w:val="28"/>
        </w:rPr>
      </w:pPr>
      <w:r>
        <w:tab/>
      </w:r>
      <w:r w:rsidR="00D54FF7" w:rsidRPr="006F1971">
        <w:rPr>
          <w:szCs w:val="28"/>
        </w:rPr>
        <w:t>В</w:t>
      </w:r>
      <w:r w:rsidR="006F1971" w:rsidRPr="006F1971">
        <w:rPr>
          <w:szCs w:val="28"/>
        </w:rPr>
        <w:t>продовж</w:t>
      </w:r>
      <w:r w:rsidR="00D54FF7" w:rsidRPr="006F1971">
        <w:rPr>
          <w:szCs w:val="28"/>
        </w:rPr>
        <w:t xml:space="preserve"> 2018 ро</w:t>
      </w:r>
      <w:r w:rsidR="006F1971" w:rsidRPr="006F1971">
        <w:rPr>
          <w:szCs w:val="28"/>
        </w:rPr>
        <w:t>ку</w:t>
      </w:r>
      <w:r w:rsidR="00D54FF7" w:rsidRPr="006F1971">
        <w:rPr>
          <w:szCs w:val="28"/>
        </w:rPr>
        <w:t xml:space="preserve"> приватизаці</w:t>
      </w:r>
      <w:r w:rsidR="006F1971">
        <w:rPr>
          <w:szCs w:val="28"/>
        </w:rPr>
        <w:t>я</w:t>
      </w:r>
      <w:r w:rsidR="00D54FF7" w:rsidRPr="006F1971">
        <w:rPr>
          <w:szCs w:val="28"/>
        </w:rPr>
        <w:t xml:space="preserve"> об’єктів комунальної власності м.Чернівців </w:t>
      </w:r>
      <w:r w:rsidR="006F1971">
        <w:rPr>
          <w:szCs w:val="28"/>
        </w:rPr>
        <w:t xml:space="preserve">здійснювалася </w:t>
      </w:r>
      <w:r w:rsidR="00D54FF7" w:rsidRPr="006F1971">
        <w:rPr>
          <w:szCs w:val="28"/>
        </w:rPr>
        <w:t>тільки шляхом викупу</w:t>
      </w:r>
      <w:r w:rsidR="00087A7D">
        <w:rPr>
          <w:szCs w:val="28"/>
        </w:rPr>
        <w:t>. С</w:t>
      </w:r>
      <w:r w:rsidR="006F1971" w:rsidRPr="006F1971">
        <w:rPr>
          <w:szCs w:val="28"/>
        </w:rPr>
        <w:t xml:space="preserve">таном на 20.11.2018р. укладено </w:t>
      </w:r>
      <w:r w:rsidR="006F1971" w:rsidRPr="00882A3E">
        <w:rPr>
          <w:b/>
          <w:szCs w:val="28"/>
        </w:rPr>
        <w:t xml:space="preserve">14 </w:t>
      </w:r>
      <w:r w:rsidR="00320E32">
        <w:rPr>
          <w:szCs w:val="28"/>
        </w:rPr>
        <w:t>договорів купівлі-</w:t>
      </w:r>
      <w:r w:rsidR="006F1971" w:rsidRPr="006F1971">
        <w:rPr>
          <w:szCs w:val="28"/>
        </w:rPr>
        <w:t xml:space="preserve">продажу на загальну суму </w:t>
      </w:r>
      <w:r w:rsidR="00146470" w:rsidRPr="00882A3E">
        <w:rPr>
          <w:b/>
          <w:szCs w:val="28"/>
        </w:rPr>
        <w:t>9</w:t>
      </w:r>
      <w:r w:rsidR="006F1971" w:rsidRPr="00882A3E">
        <w:rPr>
          <w:b/>
          <w:szCs w:val="28"/>
        </w:rPr>
        <w:t>,</w:t>
      </w:r>
      <w:r w:rsidR="00146470" w:rsidRPr="00882A3E">
        <w:rPr>
          <w:b/>
          <w:szCs w:val="28"/>
        </w:rPr>
        <w:t>6</w:t>
      </w:r>
      <w:r w:rsidR="00882A3E">
        <w:rPr>
          <w:b/>
          <w:szCs w:val="28"/>
        </w:rPr>
        <w:t>51</w:t>
      </w:r>
      <w:r w:rsidR="006F1971" w:rsidRPr="00882A3E">
        <w:rPr>
          <w:b/>
          <w:szCs w:val="28"/>
        </w:rPr>
        <w:t xml:space="preserve"> млн.грн</w:t>
      </w:r>
      <w:r w:rsidR="006F1971" w:rsidRPr="006F1971">
        <w:rPr>
          <w:szCs w:val="28"/>
        </w:rPr>
        <w:t>.</w:t>
      </w:r>
      <w:r w:rsidR="00DF7F85">
        <w:rPr>
          <w:szCs w:val="28"/>
        </w:rPr>
        <w:t xml:space="preserve"> та </w:t>
      </w:r>
      <w:r w:rsidR="00DF7F85" w:rsidRPr="000232A5">
        <w:rPr>
          <w:szCs w:val="28"/>
        </w:rPr>
        <w:t>загальною площею</w:t>
      </w:r>
      <w:r w:rsidR="000232A5" w:rsidRPr="000232A5">
        <w:rPr>
          <w:szCs w:val="28"/>
        </w:rPr>
        <w:t xml:space="preserve"> </w:t>
      </w:r>
      <w:r w:rsidR="000232A5" w:rsidRPr="000232A5">
        <w:rPr>
          <w:b/>
          <w:szCs w:val="28"/>
        </w:rPr>
        <w:t>1216,4</w:t>
      </w:r>
      <w:r w:rsidR="00DF7F85" w:rsidRPr="000232A5">
        <w:rPr>
          <w:b/>
          <w:szCs w:val="28"/>
        </w:rPr>
        <w:t>кв.м.</w:t>
      </w:r>
      <w:r w:rsidR="00DF7F85" w:rsidRPr="000232A5">
        <w:rPr>
          <w:szCs w:val="28"/>
        </w:rPr>
        <w:t xml:space="preserve"> Н</w:t>
      </w:r>
      <w:r w:rsidR="006F1971" w:rsidRPr="000232A5">
        <w:rPr>
          <w:szCs w:val="28"/>
        </w:rPr>
        <w:t>адходже</w:t>
      </w:r>
      <w:r w:rsidR="00146470" w:rsidRPr="000232A5">
        <w:rPr>
          <w:szCs w:val="28"/>
        </w:rPr>
        <w:t xml:space="preserve">ння до </w:t>
      </w:r>
      <w:r w:rsidR="00DF7F85" w:rsidRPr="000232A5">
        <w:rPr>
          <w:szCs w:val="28"/>
        </w:rPr>
        <w:t>бюджету розвитку міського</w:t>
      </w:r>
      <w:r w:rsidR="00DF7F85">
        <w:rPr>
          <w:szCs w:val="28"/>
        </w:rPr>
        <w:t xml:space="preserve"> бюджету м.Чернівці</w:t>
      </w:r>
      <w:r w:rsidR="00A66DAF">
        <w:rPr>
          <w:szCs w:val="28"/>
        </w:rPr>
        <w:t>в</w:t>
      </w:r>
      <w:r w:rsidR="00146470">
        <w:rPr>
          <w:szCs w:val="28"/>
        </w:rPr>
        <w:t xml:space="preserve"> склали </w:t>
      </w:r>
      <w:r w:rsidR="00146470" w:rsidRPr="00882A3E">
        <w:rPr>
          <w:b/>
          <w:szCs w:val="28"/>
        </w:rPr>
        <w:t>8</w:t>
      </w:r>
      <w:r w:rsidR="006F1971" w:rsidRPr="00882A3E">
        <w:rPr>
          <w:b/>
          <w:szCs w:val="28"/>
        </w:rPr>
        <w:t>,</w:t>
      </w:r>
      <w:r w:rsidR="00146470" w:rsidRPr="00882A3E">
        <w:rPr>
          <w:b/>
          <w:szCs w:val="28"/>
        </w:rPr>
        <w:t>0</w:t>
      </w:r>
      <w:r w:rsidR="00882A3E">
        <w:rPr>
          <w:b/>
          <w:szCs w:val="28"/>
        </w:rPr>
        <w:t>42</w:t>
      </w:r>
      <w:r w:rsidR="006F1971" w:rsidRPr="00882A3E">
        <w:rPr>
          <w:b/>
          <w:szCs w:val="28"/>
        </w:rPr>
        <w:t xml:space="preserve"> млн.грн.</w:t>
      </w:r>
      <w:r>
        <w:rPr>
          <w:b/>
          <w:szCs w:val="28"/>
        </w:rPr>
        <w:t xml:space="preserve">, </w:t>
      </w:r>
      <w:r>
        <w:rPr>
          <w:szCs w:val="28"/>
        </w:rPr>
        <w:t xml:space="preserve">що складає 99,2%  </w:t>
      </w:r>
      <w:r w:rsidRPr="006B475D">
        <w:rPr>
          <w:szCs w:val="28"/>
        </w:rPr>
        <w:t xml:space="preserve">від </w:t>
      </w:r>
      <w:r w:rsidR="00DF7F85">
        <w:rPr>
          <w:szCs w:val="28"/>
        </w:rPr>
        <w:t>доведених</w:t>
      </w:r>
      <w:r w:rsidRPr="006B475D">
        <w:rPr>
          <w:szCs w:val="28"/>
        </w:rPr>
        <w:t xml:space="preserve"> </w:t>
      </w:r>
      <w:r w:rsidR="00DF7F85">
        <w:rPr>
          <w:szCs w:val="28"/>
        </w:rPr>
        <w:t>бюджетних</w:t>
      </w:r>
      <w:r w:rsidRPr="006B475D">
        <w:rPr>
          <w:szCs w:val="28"/>
        </w:rPr>
        <w:t xml:space="preserve"> показник</w:t>
      </w:r>
      <w:r w:rsidR="00DF7F85">
        <w:rPr>
          <w:szCs w:val="28"/>
        </w:rPr>
        <w:t>ів</w:t>
      </w:r>
      <w:r w:rsidRPr="006B475D">
        <w:rPr>
          <w:szCs w:val="28"/>
        </w:rPr>
        <w:t>.</w:t>
      </w:r>
    </w:p>
    <w:p w:rsidR="006F1971" w:rsidRDefault="006F1971" w:rsidP="000013EA">
      <w:pPr>
        <w:pStyle w:val="2"/>
        <w:spacing w:line="240" w:lineRule="auto"/>
        <w:ind w:left="0"/>
        <w:jc w:val="both"/>
        <w:rPr>
          <w:b/>
          <w:sz w:val="28"/>
          <w:szCs w:val="28"/>
        </w:rPr>
      </w:pPr>
      <w:r>
        <w:rPr>
          <w:szCs w:val="28"/>
        </w:rPr>
        <w:tab/>
      </w:r>
      <w:r w:rsidRPr="00E7797C">
        <w:rPr>
          <w:sz w:val="28"/>
          <w:szCs w:val="28"/>
        </w:rPr>
        <w:t xml:space="preserve">До  кінця року планується укласти ще </w:t>
      </w:r>
      <w:r w:rsidR="00E7797C" w:rsidRPr="00E7797C">
        <w:rPr>
          <w:sz w:val="28"/>
          <w:szCs w:val="28"/>
        </w:rPr>
        <w:t>1</w:t>
      </w:r>
      <w:r w:rsidRPr="00E7797C">
        <w:rPr>
          <w:sz w:val="28"/>
          <w:szCs w:val="28"/>
        </w:rPr>
        <w:t xml:space="preserve"> догов</w:t>
      </w:r>
      <w:r w:rsidR="00E7797C" w:rsidRPr="00E7797C">
        <w:rPr>
          <w:sz w:val="28"/>
          <w:szCs w:val="28"/>
        </w:rPr>
        <w:t>і</w:t>
      </w:r>
      <w:r w:rsidRPr="00E7797C">
        <w:rPr>
          <w:sz w:val="28"/>
          <w:szCs w:val="28"/>
        </w:rPr>
        <w:t>р</w:t>
      </w:r>
      <w:r w:rsidR="002628B8">
        <w:rPr>
          <w:sz w:val="28"/>
          <w:szCs w:val="28"/>
        </w:rPr>
        <w:t xml:space="preserve"> купівлі-продажу</w:t>
      </w:r>
      <w:r w:rsidRPr="00E7797C">
        <w:rPr>
          <w:sz w:val="28"/>
          <w:szCs w:val="28"/>
        </w:rPr>
        <w:t xml:space="preserve"> на загальну суму</w:t>
      </w:r>
      <w:r w:rsidR="002628B8">
        <w:rPr>
          <w:sz w:val="28"/>
          <w:szCs w:val="28"/>
        </w:rPr>
        <w:t xml:space="preserve"> </w:t>
      </w:r>
      <w:r w:rsidR="00E7797C" w:rsidRPr="00E7797C">
        <w:rPr>
          <w:sz w:val="28"/>
          <w:szCs w:val="28"/>
        </w:rPr>
        <w:t>1</w:t>
      </w:r>
      <w:r w:rsidRPr="00E7797C">
        <w:rPr>
          <w:sz w:val="28"/>
          <w:szCs w:val="28"/>
        </w:rPr>
        <w:t>,</w:t>
      </w:r>
      <w:r w:rsidR="00E7797C" w:rsidRPr="00E7797C">
        <w:rPr>
          <w:sz w:val="28"/>
          <w:szCs w:val="28"/>
        </w:rPr>
        <w:t>1</w:t>
      </w:r>
      <w:r w:rsidRPr="00E7797C">
        <w:rPr>
          <w:sz w:val="28"/>
          <w:szCs w:val="28"/>
        </w:rPr>
        <w:t xml:space="preserve"> млн.грн.</w:t>
      </w:r>
      <w:r w:rsidR="00753C29">
        <w:rPr>
          <w:sz w:val="28"/>
          <w:szCs w:val="28"/>
        </w:rPr>
        <w:t xml:space="preserve"> </w:t>
      </w:r>
      <w:r w:rsidR="002628B8">
        <w:rPr>
          <w:sz w:val="28"/>
          <w:szCs w:val="28"/>
        </w:rPr>
        <w:t xml:space="preserve">(об'єкт </w:t>
      </w:r>
      <w:r w:rsidR="007B6CB5">
        <w:rPr>
          <w:sz w:val="28"/>
          <w:szCs w:val="28"/>
        </w:rPr>
        <w:t xml:space="preserve">приватизації за адресою </w:t>
      </w:r>
      <w:r w:rsidR="007B6CB5" w:rsidRPr="007B6CB5">
        <w:rPr>
          <w:sz w:val="28"/>
          <w:szCs w:val="28"/>
        </w:rPr>
        <w:t>вул.</w:t>
      </w:r>
      <w:r w:rsidR="007B6CB5">
        <w:rPr>
          <w:sz w:val="28"/>
          <w:szCs w:val="28"/>
        </w:rPr>
        <w:t xml:space="preserve"> </w:t>
      </w:r>
      <w:r w:rsidR="007B6CB5" w:rsidRPr="007B6CB5">
        <w:rPr>
          <w:sz w:val="28"/>
          <w:szCs w:val="28"/>
        </w:rPr>
        <w:t>Мудрого Ярослава, 1</w:t>
      </w:r>
      <w:r w:rsidR="007B6CB5">
        <w:rPr>
          <w:sz w:val="28"/>
          <w:szCs w:val="28"/>
        </w:rPr>
        <w:t xml:space="preserve"> площею </w:t>
      </w:r>
      <w:r w:rsidR="000232A5">
        <w:rPr>
          <w:sz w:val="28"/>
          <w:szCs w:val="28"/>
        </w:rPr>
        <w:t>197,5</w:t>
      </w:r>
      <w:r w:rsidR="007B6CB5">
        <w:rPr>
          <w:sz w:val="28"/>
          <w:szCs w:val="28"/>
        </w:rPr>
        <w:t>кв.м).</w:t>
      </w:r>
      <w:r w:rsidRPr="00E7797C">
        <w:rPr>
          <w:sz w:val="28"/>
          <w:szCs w:val="28"/>
        </w:rPr>
        <w:t xml:space="preserve"> </w:t>
      </w:r>
      <w:r w:rsidR="007B6CB5">
        <w:rPr>
          <w:sz w:val="28"/>
          <w:szCs w:val="28"/>
        </w:rPr>
        <w:t>Д</w:t>
      </w:r>
      <w:r w:rsidRPr="00E7797C">
        <w:rPr>
          <w:sz w:val="28"/>
          <w:szCs w:val="28"/>
        </w:rPr>
        <w:t xml:space="preserve">о </w:t>
      </w:r>
      <w:r w:rsidR="00DF7F85">
        <w:rPr>
          <w:sz w:val="28"/>
          <w:szCs w:val="28"/>
        </w:rPr>
        <w:t>бюджету розвитку</w:t>
      </w:r>
      <w:r w:rsidR="00DF7F85" w:rsidRPr="00E7797C">
        <w:rPr>
          <w:sz w:val="28"/>
          <w:szCs w:val="28"/>
        </w:rPr>
        <w:t xml:space="preserve"> </w:t>
      </w:r>
      <w:r w:rsidR="007B6CB5">
        <w:rPr>
          <w:sz w:val="28"/>
          <w:szCs w:val="28"/>
        </w:rPr>
        <w:t>надійде</w:t>
      </w:r>
      <w:r w:rsidRPr="00E7797C">
        <w:rPr>
          <w:sz w:val="28"/>
          <w:szCs w:val="28"/>
        </w:rPr>
        <w:t xml:space="preserve"> </w:t>
      </w:r>
      <w:r w:rsidR="00E7797C" w:rsidRPr="00E7797C">
        <w:rPr>
          <w:sz w:val="28"/>
          <w:szCs w:val="28"/>
        </w:rPr>
        <w:t>0</w:t>
      </w:r>
      <w:r w:rsidRPr="00E7797C">
        <w:rPr>
          <w:sz w:val="28"/>
          <w:szCs w:val="28"/>
        </w:rPr>
        <w:t>,</w:t>
      </w:r>
      <w:r w:rsidR="00E7797C" w:rsidRPr="00E7797C">
        <w:rPr>
          <w:sz w:val="28"/>
          <w:szCs w:val="28"/>
        </w:rPr>
        <w:t>9</w:t>
      </w:r>
      <w:r w:rsidR="00DF7F85">
        <w:rPr>
          <w:sz w:val="28"/>
          <w:szCs w:val="28"/>
        </w:rPr>
        <w:t xml:space="preserve"> млн.грн.</w:t>
      </w:r>
      <w:r w:rsidRPr="00E7797C">
        <w:rPr>
          <w:sz w:val="28"/>
          <w:szCs w:val="28"/>
        </w:rPr>
        <w:t xml:space="preserve"> </w:t>
      </w:r>
      <w:r w:rsidR="00DF7F85">
        <w:rPr>
          <w:sz w:val="28"/>
          <w:szCs w:val="28"/>
        </w:rPr>
        <w:t>В</w:t>
      </w:r>
      <w:r w:rsidRPr="00E7797C">
        <w:rPr>
          <w:sz w:val="28"/>
          <w:szCs w:val="28"/>
        </w:rPr>
        <w:t>сього в 2018 році</w:t>
      </w:r>
      <w:r w:rsidR="00320E32">
        <w:rPr>
          <w:sz w:val="28"/>
          <w:szCs w:val="28"/>
        </w:rPr>
        <w:t xml:space="preserve"> </w:t>
      </w:r>
      <w:r w:rsidR="007978EC" w:rsidRPr="00FA18AE">
        <w:rPr>
          <w:sz w:val="28"/>
          <w:szCs w:val="28"/>
        </w:rPr>
        <w:t>заплановано</w:t>
      </w:r>
      <w:r w:rsidR="00320E32" w:rsidRPr="00FA18AE">
        <w:rPr>
          <w:sz w:val="28"/>
          <w:szCs w:val="28"/>
        </w:rPr>
        <w:t xml:space="preserve"> укла</w:t>
      </w:r>
      <w:r w:rsidR="007978EC" w:rsidRPr="00FA18AE">
        <w:rPr>
          <w:sz w:val="28"/>
          <w:szCs w:val="28"/>
        </w:rPr>
        <w:t>сти</w:t>
      </w:r>
      <w:r w:rsidR="00320E32">
        <w:rPr>
          <w:sz w:val="28"/>
          <w:szCs w:val="28"/>
        </w:rPr>
        <w:t xml:space="preserve"> 15 договорів купівлі продажу на загальну суму </w:t>
      </w:r>
      <w:r w:rsidR="007B6CB5" w:rsidRPr="007B6CB5">
        <w:rPr>
          <w:b/>
          <w:sz w:val="28"/>
          <w:szCs w:val="28"/>
        </w:rPr>
        <w:t>1</w:t>
      </w:r>
      <w:r w:rsidRPr="007B6CB5">
        <w:rPr>
          <w:b/>
          <w:sz w:val="28"/>
          <w:szCs w:val="28"/>
        </w:rPr>
        <w:t>0</w:t>
      </w:r>
      <w:r w:rsidRPr="00E7797C">
        <w:rPr>
          <w:b/>
          <w:sz w:val="28"/>
          <w:szCs w:val="28"/>
        </w:rPr>
        <w:t>,7 млн.грн.</w:t>
      </w:r>
      <w:r w:rsidRPr="00E7797C">
        <w:rPr>
          <w:sz w:val="28"/>
          <w:szCs w:val="28"/>
        </w:rPr>
        <w:t xml:space="preserve"> </w:t>
      </w:r>
      <w:r w:rsidR="00320E32">
        <w:rPr>
          <w:sz w:val="28"/>
          <w:szCs w:val="28"/>
        </w:rPr>
        <w:t>Д</w:t>
      </w:r>
      <w:r w:rsidRPr="00E7797C">
        <w:rPr>
          <w:b/>
          <w:sz w:val="28"/>
          <w:szCs w:val="28"/>
        </w:rPr>
        <w:t>о бюджету</w:t>
      </w:r>
      <w:r w:rsidR="00DF7F85">
        <w:rPr>
          <w:b/>
          <w:sz w:val="28"/>
          <w:szCs w:val="28"/>
        </w:rPr>
        <w:t xml:space="preserve"> </w:t>
      </w:r>
      <w:r w:rsidR="00DF7F85" w:rsidRPr="00700B6B">
        <w:rPr>
          <w:b/>
          <w:sz w:val="28"/>
          <w:szCs w:val="28"/>
        </w:rPr>
        <w:t>розвитку</w:t>
      </w:r>
      <w:r w:rsidR="00DF7F85">
        <w:rPr>
          <w:b/>
          <w:sz w:val="28"/>
          <w:szCs w:val="28"/>
        </w:rPr>
        <w:t xml:space="preserve"> </w:t>
      </w:r>
      <w:r w:rsidR="00DF7F85" w:rsidRPr="00700B6B">
        <w:rPr>
          <w:b/>
          <w:sz w:val="28"/>
          <w:szCs w:val="28"/>
        </w:rPr>
        <w:t>міського бюджету м.Чернівці</w:t>
      </w:r>
      <w:r w:rsidR="00320E32">
        <w:rPr>
          <w:b/>
          <w:sz w:val="28"/>
          <w:szCs w:val="28"/>
        </w:rPr>
        <w:t>в</w:t>
      </w:r>
      <w:r w:rsidRPr="00E7797C">
        <w:rPr>
          <w:b/>
          <w:sz w:val="28"/>
          <w:szCs w:val="28"/>
        </w:rPr>
        <w:t xml:space="preserve">  </w:t>
      </w:r>
      <w:r w:rsidR="007978EC" w:rsidRPr="00FA18AE">
        <w:rPr>
          <w:b/>
          <w:sz w:val="28"/>
          <w:szCs w:val="28"/>
        </w:rPr>
        <w:t>планується отримати</w:t>
      </w:r>
      <w:r w:rsidRPr="00FA18AE">
        <w:rPr>
          <w:b/>
          <w:sz w:val="28"/>
          <w:szCs w:val="28"/>
        </w:rPr>
        <w:t xml:space="preserve"> 8,</w:t>
      </w:r>
      <w:r w:rsidRPr="00E7797C">
        <w:rPr>
          <w:b/>
          <w:sz w:val="28"/>
          <w:szCs w:val="28"/>
        </w:rPr>
        <w:t>9 млн.грн.</w:t>
      </w:r>
      <w:r w:rsidR="00700B6B">
        <w:rPr>
          <w:b/>
          <w:sz w:val="28"/>
          <w:szCs w:val="28"/>
        </w:rPr>
        <w:t xml:space="preserve"> </w:t>
      </w:r>
      <w:r w:rsidR="00700B6B" w:rsidRPr="00597BBC">
        <w:rPr>
          <w:sz w:val="28"/>
          <w:szCs w:val="28"/>
        </w:rPr>
        <w:t xml:space="preserve">(109,8% </w:t>
      </w:r>
      <w:r w:rsidR="00597BBC" w:rsidRPr="00597BBC">
        <w:rPr>
          <w:sz w:val="28"/>
          <w:szCs w:val="28"/>
        </w:rPr>
        <w:t>від доведених показників</w:t>
      </w:r>
      <w:r w:rsidR="00700B6B" w:rsidRPr="00597BBC">
        <w:rPr>
          <w:sz w:val="28"/>
          <w:szCs w:val="28"/>
        </w:rPr>
        <w:t>)</w:t>
      </w:r>
      <w:r w:rsidR="00597BBC">
        <w:rPr>
          <w:sz w:val="28"/>
          <w:szCs w:val="28"/>
        </w:rPr>
        <w:t>.</w:t>
      </w:r>
    </w:p>
    <w:p w:rsidR="00FC2C8F" w:rsidRDefault="00FC2C8F" w:rsidP="000013EA">
      <w:pPr>
        <w:pStyle w:val="a5"/>
        <w:tabs>
          <w:tab w:val="left" w:pos="0"/>
        </w:tabs>
        <w:jc w:val="both"/>
        <w:rPr>
          <w:rFonts w:eastAsia="Arial Unicode MS"/>
          <w:szCs w:val="28"/>
        </w:rPr>
      </w:pPr>
      <w:r>
        <w:rPr>
          <w:b/>
          <w:szCs w:val="28"/>
        </w:rPr>
        <w:tab/>
      </w:r>
      <w:r>
        <w:rPr>
          <w:rFonts w:eastAsia="Arial Unicode MS"/>
          <w:szCs w:val="28"/>
        </w:rPr>
        <w:t>У зв’язку з прийняттям</w:t>
      </w:r>
      <w:r w:rsidR="00320E32">
        <w:rPr>
          <w:rFonts w:eastAsia="Arial Unicode MS"/>
          <w:szCs w:val="28"/>
        </w:rPr>
        <w:t xml:space="preserve"> 18.01.2018 року</w:t>
      </w:r>
      <w:r>
        <w:rPr>
          <w:rFonts w:eastAsia="Arial Unicode MS"/>
          <w:szCs w:val="28"/>
        </w:rPr>
        <w:t xml:space="preserve"> Закону України</w:t>
      </w:r>
      <w:r w:rsidR="009A0E06">
        <w:rPr>
          <w:rFonts w:eastAsia="Arial Unicode MS"/>
          <w:szCs w:val="28"/>
        </w:rPr>
        <w:t xml:space="preserve"> №2269-VIII</w:t>
      </w:r>
      <w:r>
        <w:rPr>
          <w:rFonts w:eastAsia="Arial Unicode MS"/>
          <w:szCs w:val="28"/>
        </w:rPr>
        <w:t xml:space="preserve"> «Про приватизацію державного і комунального майна»</w:t>
      </w:r>
      <w:r w:rsidR="009A0E06" w:rsidRPr="009A0E06">
        <w:rPr>
          <w:rFonts w:eastAsia="Arial Unicode MS"/>
          <w:szCs w:val="28"/>
        </w:rPr>
        <w:t xml:space="preserve"> </w:t>
      </w:r>
      <w:r>
        <w:rPr>
          <w:rFonts w:eastAsia="Arial Unicode MS"/>
          <w:szCs w:val="28"/>
        </w:rPr>
        <w:t>та приведенням у відповідність нормативних актів з питань приватизації місцевого рівня в 2018 ро</w:t>
      </w:r>
      <w:r w:rsidR="00597BBC">
        <w:rPr>
          <w:rFonts w:eastAsia="Arial Unicode MS"/>
          <w:szCs w:val="28"/>
        </w:rPr>
        <w:t>ці</w:t>
      </w:r>
      <w:r>
        <w:rPr>
          <w:rFonts w:eastAsia="Arial Unicode MS"/>
          <w:szCs w:val="28"/>
        </w:rPr>
        <w:t xml:space="preserve"> приватизація об’єктів шляхом продажу з аукціону не проводилася.</w:t>
      </w:r>
    </w:p>
    <w:p w:rsidR="00682FBB" w:rsidRDefault="00FC2C8F" w:rsidP="009107C6">
      <w:pPr>
        <w:pStyle w:val="a5"/>
        <w:tabs>
          <w:tab w:val="left" w:pos="0"/>
        </w:tabs>
        <w:jc w:val="both"/>
        <w:rPr>
          <w:szCs w:val="28"/>
        </w:rPr>
      </w:pPr>
      <w:r>
        <w:rPr>
          <w:rFonts w:eastAsia="Arial Unicode MS"/>
          <w:szCs w:val="28"/>
        </w:rPr>
        <w:tab/>
      </w:r>
      <w:r w:rsidR="00682FBB" w:rsidRPr="00682FBB">
        <w:rPr>
          <w:szCs w:val="28"/>
        </w:rPr>
        <w:t xml:space="preserve">Інформація </w:t>
      </w:r>
      <w:r w:rsidR="00A66DAF">
        <w:rPr>
          <w:szCs w:val="28"/>
        </w:rPr>
        <w:t xml:space="preserve">про основні показники приватизації </w:t>
      </w:r>
      <w:r w:rsidR="00682FBB" w:rsidRPr="00682FBB">
        <w:rPr>
          <w:szCs w:val="28"/>
        </w:rPr>
        <w:t>об’єктів комунальної власності м.Чернівці</w:t>
      </w:r>
      <w:r w:rsidR="00A66DAF">
        <w:rPr>
          <w:szCs w:val="28"/>
        </w:rPr>
        <w:t>в</w:t>
      </w:r>
      <w:r w:rsidR="00682FBB">
        <w:rPr>
          <w:szCs w:val="28"/>
        </w:rPr>
        <w:t xml:space="preserve"> в 2018 році наведена в </w:t>
      </w:r>
      <w:r w:rsidR="00A66DAF">
        <w:rPr>
          <w:szCs w:val="28"/>
        </w:rPr>
        <w:t>таблиці</w:t>
      </w:r>
      <w:r w:rsidR="00682FBB">
        <w:rPr>
          <w:szCs w:val="28"/>
        </w:rPr>
        <w:t xml:space="preserve"> 1.</w:t>
      </w:r>
    </w:p>
    <w:p w:rsidR="00A66DAF" w:rsidRDefault="00A66DAF" w:rsidP="00A66DAF">
      <w:pPr>
        <w:pStyle w:val="Default"/>
        <w:jc w:val="right"/>
        <w:rPr>
          <w:i/>
          <w:iCs/>
          <w:sz w:val="20"/>
          <w:szCs w:val="20"/>
        </w:rPr>
      </w:pPr>
    </w:p>
    <w:p w:rsidR="00A66DAF" w:rsidRDefault="00A66DAF" w:rsidP="00A66DAF">
      <w:pPr>
        <w:pStyle w:val="Default"/>
        <w:jc w:val="right"/>
        <w:rPr>
          <w:i/>
          <w:iCs/>
          <w:sz w:val="20"/>
          <w:szCs w:val="20"/>
        </w:rPr>
      </w:pPr>
    </w:p>
    <w:p w:rsidR="00A66DAF" w:rsidRDefault="00A66DAF" w:rsidP="00A66DAF">
      <w:pPr>
        <w:pStyle w:val="Default"/>
        <w:jc w:val="right"/>
        <w:rPr>
          <w:i/>
          <w:iCs/>
          <w:sz w:val="20"/>
          <w:szCs w:val="20"/>
        </w:rPr>
      </w:pPr>
    </w:p>
    <w:p w:rsidR="00A66DAF" w:rsidRDefault="00A66DAF" w:rsidP="00A66DAF">
      <w:pPr>
        <w:pStyle w:val="Default"/>
        <w:jc w:val="right"/>
        <w:rPr>
          <w:i/>
          <w:iCs/>
          <w:sz w:val="20"/>
          <w:szCs w:val="20"/>
        </w:rPr>
      </w:pPr>
    </w:p>
    <w:p w:rsidR="00A66DAF" w:rsidRDefault="00A66DAF" w:rsidP="00A66DAF">
      <w:pPr>
        <w:pStyle w:val="Default"/>
        <w:jc w:val="right"/>
        <w:rPr>
          <w:i/>
          <w:iCs/>
          <w:sz w:val="20"/>
          <w:szCs w:val="20"/>
        </w:rPr>
      </w:pPr>
    </w:p>
    <w:p w:rsidR="00A66DAF" w:rsidRDefault="00A66DAF" w:rsidP="00A66DAF">
      <w:pPr>
        <w:pStyle w:val="Default"/>
        <w:jc w:val="right"/>
        <w:rPr>
          <w:i/>
          <w:iCs/>
          <w:sz w:val="20"/>
          <w:szCs w:val="20"/>
        </w:rPr>
      </w:pPr>
    </w:p>
    <w:p w:rsidR="00A66DAF" w:rsidRPr="00E212D2" w:rsidRDefault="00A66DAF" w:rsidP="00A66DAF">
      <w:pPr>
        <w:pStyle w:val="Default"/>
        <w:jc w:val="right"/>
        <w:rPr>
          <w:b/>
        </w:rPr>
      </w:pPr>
      <w:r w:rsidRPr="00E212D2">
        <w:rPr>
          <w:b/>
          <w:i/>
          <w:iCs/>
        </w:rPr>
        <w:t xml:space="preserve">Таблиця 1 </w:t>
      </w:r>
    </w:p>
    <w:p w:rsidR="00A66DAF" w:rsidRDefault="00A66DAF" w:rsidP="00A66DAF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Основні показники приватизації об’єктів комунальної власності</w:t>
      </w:r>
    </w:p>
    <w:p w:rsidR="00A66DAF" w:rsidRDefault="00A66DAF" w:rsidP="00A66DAF">
      <w:pPr>
        <w:pStyle w:val="a5"/>
        <w:tabs>
          <w:tab w:val="left" w:pos="0"/>
        </w:tabs>
        <w:jc w:val="center"/>
        <w:rPr>
          <w:szCs w:val="28"/>
        </w:rPr>
      </w:pPr>
      <w:r>
        <w:rPr>
          <w:szCs w:val="28"/>
        </w:rPr>
        <w:t>за 2018 рік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4"/>
        <w:gridCol w:w="3194"/>
      </w:tblGrid>
      <w:tr w:rsidR="00A91B43" w:rsidRPr="00CC728D" w:rsidTr="000232A5">
        <w:trPr>
          <w:trHeight w:val="417"/>
        </w:trPr>
        <w:tc>
          <w:tcPr>
            <w:tcW w:w="6588" w:type="dxa"/>
          </w:tcPr>
          <w:p w:rsidR="00A91B43" w:rsidRPr="00CC728D" w:rsidRDefault="000232A5" w:rsidP="000232A5">
            <w:pPr>
              <w:pStyle w:val="a5"/>
              <w:tabs>
                <w:tab w:val="left" w:pos="0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Показники</w:t>
            </w:r>
          </w:p>
        </w:tc>
        <w:tc>
          <w:tcPr>
            <w:tcW w:w="3266" w:type="dxa"/>
          </w:tcPr>
          <w:p w:rsidR="00A91B43" w:rsidRPr="00CC728D" w:rsidRDefault="00A91B43" w:rsidP="007978EC">
            <w:pPr>
              <w:pStyle w:val="a5"/>
              <w:tabs>
                <w:tab w:val="left" w:pos="0"/>
              </w:tabs>
              <w:jc w:val="center"/>
              <w:rPr>
                <w:b/>
                <w:szCs w:val="28"/>
              </w:rPr>
            </w:pPr>
            <w:r w:rsidRPr="00CC728D">
              <w:rPr>
                <w:b/>
                <w:szCs w:val="28"/>
              </w:rPr>
              <w:t>201</w:t>
            </w:r>
            <w:r w:rsidR="003D5482" w:rsidRPr="00CC728D">
              <w:rPr>
                <w:b/>
                <w:szCs w:val="28"/>
              </w:rPr>
              <w:t>8</w:t>
            </w:r>
            <w:r w:rsidRPr="00CC728D">
              <w:rPr>
                <w:b/>
                <w:szCs w:val="28"/>
              </w:rPr>
              <w:t xml:space="preserve"> рік</w:t>
            </w:r>
          </w:p>
        </w:tc>
      </w:tr>
      <w:tr w:rsidR="00A91B43" w:rsidRPr="00CC728D" w:rsidTr="000232A5">
        <w:tc>
          <w:tcPr>
            <w:tcW w:w="6588" w:type="dxa"/>
          </w:tcPr>
          <w:p w:rsidR="00A91B43" w:rsidRPr="00CC728D" w:rsidRDefault="00A91B43" w:rsidP="00CC728D">
            <w:pPr>
              <w:pStyle w:val="a5"/>
              <w:tabs>
                <w:tab w:val="left" w:pos="0"/>
              </w:tabs>
              <w:jc w:val="center"/>
              <w:rPr>
                <w:szCs w:val="28"/>
              </w:rPr>
            </w:pPr>
            <w:r w:rsidRPr="00CC728D">
              <w:rPr>
                <w:szCs w:val="28"/>
              </w:rPr>
              <w:t xml:space="preserve">Кількість об'єктів приватизації </w:t>
            </w:r>
            <w:r w:rsidRPr="00CC728D">
              <w:rPr>
                <w:sz w:val="24"/>
              </w:rPr>
              <w:t>(шт.)</w:t>
            </w:r>
          </w:p>
        </w:tc>
        <w:tc>
          <w:tcPr>
            <w:tcW w:w="3266" w:type="dxa"/>
          </w:tcPr>
          <w:p w:rsidR="00A91B43" w:rsidRPr="00CC728D" w:rsidRDefault="003D5482" w:rsidP="00CC728D">
            <w:pPr>
              <w:pStyle w:val="a5"/>
              <w:tabs>
                <w:tab w:val="left" w:pos="0"/>
              </w:tabs>
              <w:jc w:val="center"/>
              <w:rPr>
                <w:b/>
                <w:szCs w:val="28"/>
              </w:rPr>
            </w:pPr>
            <w:r w:rsidRPr="00CC728D">
              <w:rPr>
                <w:b/>
                <w:szCs w:val="28"/>
              </w:rPr>
              <w:t>14</w:t>
            </w:r>
          </w:p>
        </w:tc>
      </w:tr>
      <w:tr w:rsidR="00A91B43" w:rsidRPr="00CC728D" w:rsidTr="000232A5">
        <w:tc>
          <w:tcPr>
            <w:tcW w:w="6588" w:type="dxa"/>
          </w:tcPr>
          <w:p w:rsidR="00A91B43" w:rsidRPr="00CC728D" w:rsidRDefault="00A91B43" w:rsidP="00CC728D">
            <w:pPr>
              <w:pStyle w:val="a5"/>
              <w:tabs>
                <w:tab w:val="left" w:pos="0"/>
              </w:tabs>
              <w:jc w:val="center"/>
              <w:rPr>
                <w:szCs w:val="28"/>
              </w:rPr>
            </w:pPr>
            <w:r w:rsidRPr="000232A5">
              <w:rPr>
                <w:szCs w:val="28"/>
              </w:rPr>
              <w:t xml:space="preserve">Загальна площа об'єктів приватизації </w:t>
            </w:r>
            <w:r w:rsidRPr="000232A5">
              <w:rPr>
                <w:sz w:val="24"/>
              </w:rPr>
              <w:t>(кв. м)</w:t>
            </w:r>
          </w:p>
        </w:tc>
        <w:tc>
          <w:tcPr>
            <w:tcW w:w="3266" w:type="dxa"/>
          </w:tcPr>
          <w:p w:rsidR="00A91B43" w:rsidRPr="000232A5" w:rsidRDefault="000232A5" w:rsidP="00CC728D">
            <w:pPr>
              <w:pStyle w:val="a5"/>
              <w:tabs>
                <w:tab w:val="left" w:pos="0"/>
              </w:tabs>
              <w:jc w:val="center"/>
              <w:rPr>
                <w:b/>
                <w:szCs w:val="28"/>
              </w:rPr>
            </w:pPr>
            <w:r w:rsidRPr="000232A5">
              <w:rPr>
                <w:b/>
                <w:szCs w:val="28"/>
              </w:rPr>
              <w:t>1216,4</w:t>
            </w:r>
          </w:p>
        </w:tc>
      </w:tr>
      <w:tr w:rsidR="00A91B43" w:rsidRPr="00CC728D" w:rsidTr="000232A5">
        <w:tc>
          <w:tcPr>
            <w:tcW w:w="6588" w:type="dxa"/>
          </w:tcPr>
          <w:p w:rsidR="00A91B43" w:rsidRPr="00CC728D" w:rsidRDefault="00A91B43" w:rsidP="00CC728D">
            <w:pPr>
              <w:pStyle w:val="a5"/>
              <w:tabs>
                <w:tab w:val="left" w:pos="0"/>
              </w:tabs>
              <w:jc w:val="center"/>
              <w:rPr>
                <w:szCs w:val="28"/>
              </w:rPr>
            </w:pPr>
            <w:r w:rsidRPr="00CC728D">
              <w:rPr>
                <w:szCs w:val="28"/>
              </w:rPr>
              <w:t xml:space="preserve">Загальна вартість об'єктів приватизації  </w:t>
            </w:r>
            <w:r w:rsidRPr="00CC728D">
              <w:rPr>
                <w:sz w:val="24"/>
              </w:rPr>
              <w:t>(</w:t>
            </w:r>
            <w:r w:rsidR="003D5482" w:rsidRPr="00CC728D">
              <w:rPr>
                <w:sz w:val="24"/>
              </w:rPr>
              <w:t>млн</w:t>
            </w:r>
            <w:r w:rsidRPr="00CC728D">
              <w:rPr>
                <w:sz w:val="24"/>
              </w:rPr>
              <w:t>. грн.)</w:t>
            </w:r>
          </w:p>
        </w:tc>
        <w:tc>
          <w:tcPr>
            <w:tcW w:w="3266" w:type="dxa"/>
          </w:tcPr>
          <w:p w:rsidR="00A91B43" w:rsidRPr="00CC728D" w:rsidRDefault="003D5482" w:rsidP="00CC728D">
            <w:pPr>
              <w:pStyle w:val="a5"/>
              <w:tabs>
                <w:tab w:val="left" w:pos="0"/>
              </w:tabs>
              <w:jc w:val="center"/>
              <w:rPr>
                <w:szCs w:val="28"/>
              </w:rPr>
            </w:pPr>
            <w:r w:rsidRPr="00CC728D">
              <w:rPr>
                <w:b/>
                <w:szCs w:val="28"/>
              </w:rPr>
              <w:t>9,651</w:t>
            </w:r>
          </w:p>
        </w:tc>
      </w:tr>
      <w:tr w:rsidR="00A91B43" w:rsidRPr="00CC728D" w:rsidTr="000232A5">
        <w:tc>
          <w:tcPr>
            <w:tcW w:w="6588" w:type="dxa"/>
          </w:tcPr>
          <w:p w:rsidR="00A91B43" w:rsidRPr="00CC728D" w:rsidRDefault="00A91B43" w:rsidP="00CC728D">
            <w:pPr>
              <w:pStyle w:val="a5"/>
              <w:tabs>
                <w:tab w:val="left" w:pos="0"/>
              </w:tabs>
              <w:jc w:val="center"/>
              <w:rPr>
                <w:szCs w:val="28"/>
              </w:rPr>
            </w:pPr>
            <w:r w:rsidRPr="00CC728D">
              <w:rPr>
                <w:szCs w:val="28"/>
              </w:rPr>
              <w:t xml:space="preserve">Сума надходжень від приватизації до бюджету розвитку міста </w:t>
            </w:r>
            <w:r w:rsidRPr="00CC728D">
              <w:rPr>
                <w:sz w:val="24"/>
              </w:rPr>
              <w:t>(</w:t>
            </w:r>
            <w:r w:rsidR="003D5482" w:rsidRPr="00CC728D">
              <w:rPr>
                <w:sz w:val="24"/>
              </w:rPr>
              <w:t>млн</w:t>
            </w:r>
            <w:r w:rsidRPr="00CC728D">
              <w:rPr>
                <w:sz w:val="24"/>
              </w:rPr>
              <w:t>. грн.)</w:t>
            </w:r>
          </w:p>
        </w:tc>
        <w:tc>
          <w:tcPr>
            <w:tcW w:w="3266" w:type="dxa"/>
          </w:tcPr>
          <w:p w:rsidR="00A91B43" w:rsidRPr="00CC728D" w:rsidRDefault="003D5482" w:rsidP="00CC728D">
            <w:pPr>
              <w:pStyle w:val="a5"/>
              <w:tabs>
                <w:tab w:val="left" w:pos="0"/>
              </w:tabs>
              <w:jc w:val="center"/>
              <w:rPr>
                <w:szCs w:val="28"/>
              </w:rPr>
            </w:pPr>
            <w:r w:rsidRPr="00CC728D">
              <w:rPr>
                <w:b/>
                <w:szCs w:val="28"/>
              </w:rPr>
              <w:t>8,042</w:t>
            </w:r>
          </w:p>
        </w:tc>
      </w:tr>
    </w:tbl>
    <w:p w:rsidR="00A66DAF" w:rsidRPr="00682FBB" w:rsidRDefault="00A66DAF" w:rsidP="00A66DAF">
      <w:pPr>
        <w:pStyle w:val="a5"/>
        <w:tabs>
          <w:tab w:val="left" w:pos="0"/>
        </w:tabs>
        <w:jc w:val="center"/>
        <w:rPr>
          <w:szCs w:val="28"/>
        </w:rPr>
      </w:pPr>
    </w:p>
    <w:p w:rsidR="00B6235F" w:rsidRPr="00E212D2" w:rsidRDefault="00882A3E" w:rsidP="000013EA">
      <w:pPr>
        <w:pStyle w:val="a5"/>
        <w:tabs>
          <w:tab w:val="left" w:pos="0"/>
        </w:tabs>
        <w:jc w:val="both"/>
        <w:rPr>
          <w:rFonts w:eastAsia="Arial Unicode MS"/>
          <w:szCs w:val="28"/>
        </w:rPr>
      </w:pPr>
      <w:r>
        <w:tab/>
      </w:r>
      <w:r w:rsidR="00B6235F">
        <w:rPr>
          <w:rFonts w:eastAsia="Arial Unicode MS"/>
          <w:szCs w:val="28"/>
        </w:rPr>
        <w:t xml:space="preserve">Динаміка приватизації </w:t>
      </w:r>
      <w:r w:rsidR="00E212D2">
        <w:rPr>
          <w:rFonts w:eastAsia="Arial Unicode MS"/>
          <w:szCs w:val="28"/>
        </w:rPr>
        <w:t>об'єктів майна територіальної громади міста</w:t>
      </w:r>
      <w:r w:rsidR="00B6235F">
        <w:rPr>
          <w:rFonts w:eastAsia="Arial Unicode MS"/>
          <w:szCs w:val="28"/>
        </w:rPr>
        <w:t xml:space="preserve"> за </w:t>
      </w:r>
      <w:r w:rsidR="007F13D2">
        <w:rPr>
          <w:rFonts w:eastAsia="Arial Unicode MS"/>
          <w:szCs w:val="28"/>
        </w:rPr>
        <w:t xml:space="preserve"> </w:t>
      </w:r>
      <w:r w:rsidR="00B6235F">
        <w:rPr>
          <w:rFonts w:eastAsia="Arial Unicode MS"/>
          <w:szCs w:val="28"/>
        </w:rPr>
        <w:t>2015-2018 роки  наведен</w:t>
      </w:r>
      <w:r w:rsidR="00E212D2">
        <w:rPr>
          <w:rFonts w:eastAsia="Arial Unicode MS"/>
          <w:szCs w:val="28"/>
        </w:rPr>
        <w:t>а</w:t>
      </w:r>
      <w:r w:rsidR="00B6235F">
        <w:rPr>
          <w:rFonts w:eastAsia="Arial Unicode MS"/>
          <w:szCs w:val="28"/>
        </w:rPr>
        <w:t xml:space="preserve"> в </w:t>
      </w:r>
      <w:r w:rsidR="00E212D2">
        <w:rPr>
          <w:rFonts w:eastAsia="Arial Unicode MS"/>
          <w:szCs w:val="28"/>
        </w:rPr>
        <w:t>таблиці</w:t>
      </w:r>
      <w:r w:rsidR="00B6235F">
        <w:rPr>
          <w:rFonts w:eastAsia="Arial Unicode MS"/>
          <w:szCs w:val="28"/>
        </w:rPr>
        <w:t xml:space="preserve"> 2.</w:t>
      </w:r>
    </w:p>
    <w:p w:rsidR="00E212D2" w:rsidRPr="00E212D2" w:rsidRDefault="00E212D2" w:rsidP="00E212D2">
      <w:pPr>
        <w:pStyle w:val="Default"/>
        <w:jc w:val="right"/>
        <w:rPr>
          <w:b/>
        </w:rPr>
      </w:pPr>
      <w:r w:rsidRPr="00E212D2">
        <w:rPr>
          <w:b/>
          <w:i/>
          <w:iCs/>
        </w:rPr>
        <w:t xml:space="preserve">Таблиця </w:t>
      </w:r>
      <w:r>
        <w:rPr>
          <w:b/>
          <w:i/>
          <w:iCs/>
        </w:rPr>
        <w:t>2</w:t>
      </w:r>
      <w:r w:rsidRPr="00E212D2">
        <w:rPr>
          <w:b/>
          <w:i/>
          <w:iCs/>
        </w:rPr>
        <w:t xml:space="preserve"> </w:t>
      </w:r>
    </w:p>
    <w:p w:rsidR="009A0E06" w:rsidRDefault="009A0E06" w:rsidP="00E212D2">
      <w:pPr>
        <w:ind w:firstLine="708"/>
        <w:jc w:val="right"/>
        <w:rPr>
          <w:rFonts w:eastAsia="Arial Unicode MS"/>
          <w:b/>
          <w:sz w:val="28"/>
          <w:szCs w:val="28"/>
        </w:rPr>
      </w:pP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1864"/>
        <w:gridCol w:w="829"/>
        <w:gridCol w:w="773"/>
        <w:gridCol w:w="938"/>
        <w:gridCol w:w="2260"/>
        <w:gridCol w:w="992"/>
        <w:gridCol w:w="1350"/>
      </w:tblGrid>
      <w:tr w:rsidR="007978EC" w:rsidTr="007978EC">
        <w:trPr>
          <w:trHeight w:val="388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EC" w:rsidRPr="00E212D2" w:rsidRDefault="007978EC" w:rsidP="00C31CC7">
            <w:pPr>
              <w:jc w:val="center"/>
              <w:rPr>
                <w:b/>
                <w:sz w:val="22"/>
                <w:szCs w:val="22"/>
              </w:rPr>
            </w:pPr>
            <w:r w:rsidRPr="00E212D2">
              <w:rPr>
                <w:b/>
                <w:sz w:val="22"/>
                <w:szCs w:val="22"/>
              </w:rPr>
              <w:t>Рік</w:t>
            </w:r>
          </w:p>
        </w:tc>
        <w:tc>
          <w:tcPr>
            <w:tcW w:w="44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EC" w:rsidRPr="00E212D2" w:rsidRDefault="007978EC" w:rsidP="009A0E06">
            <w:pPr>
              <w:jc w:val="center"/>
              <w:rPr>
                <w:b/>
                <w:sz w:val="22"/>
                <w:szCs w:val="22"/>
              </w:rPr>
            </w:pPr>
            <w:r w:rsidRPr="00E212D2">
              <w:rPr>
                <w:b/>
                <w:sz w:val="22"/>
                <w:szCs w:val="22"/>
              </w:rPr>
              <w:t>Кількість об’єктів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78EC" w:rsidRPr="00E212D2" w:rsidRDefault="007978EC" w:rsidP="009A0E06">
            <w:pPr>
              <w:jc w:val="center"/>
              <w:rPr>
                <w:b/>
                <w:sz w:val="22"/>
                <w:szCs w:val="22"/>
              </w:rPr>
            </w:pPr>
            <w:r w:rsidRPr="00E212D2">
              <w:rPr>
                <w:b/>
                <w:sz w:val="22"/>
                <w:szCs w:val="22"/>
              </w:rPr>
              <w:t>Надходження від приватизації до бюджету міста</w:t>
            </w:r>
          </w:p>
          <w:p w:rsidR="007978EC" w:rsidRPr="00E212D2" w:rsidRDefault="007978EC" w:rsidP="009A0E06">
            <w:pPr>
              <w:jc w:val="center"/>
              <w:rPr>
                <w:b/>
                <w:sz w:val="22"/>
                <w:szCs w:val="22"/>
              </w:rPr>
            </w:pPr>
            <w:r w:rsidRPr="007978EC">
              <w:rPr>
                <w:sz w:val="22"/>
                <w:szCs w:val="22"/>
              </w:rPr>
              <w:t>тис.грн.</w:t>
            </w:r>
          </w:p>
        </w:tc>
        <w:tc>
          <w:tcPr>
            <w:tcW w:w="23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EC" w:rsidRPr="00E212D2" w:rsidRDefault="007978EC" w:rsidP="000C3E24">
            <w:pPr>
              <w:jc w:val="center"/>
              <w:rPr>
                <w:b/>
                <w:sz w:val="22"/>
                <w:szCs w:val="22"/>
              </w:rPr>
            </w:pPr>
            <w:r w:rsidRPr="00E212D2">
              <w:rPr>
                <w:b/>
                <w:sz w:val="22"/>
                <w:szCs w:val="22"/>
              </w:rPr>
              <w:t xml:space="preserve">Загальна площа приватизованих об'єктів </w:t>
            </w:r>
          </w:p>
          <w:p w:rsidR="007978EC" w:rsidRDefault="007978EC" w:rsidP="000C3E24">
            <w:pPr>
              <w:jc w:val="center"/>
              <w:rPr>
                <w:sz w:val="22"/>
                <w:szCs w:val="22"/>
              </w:rPr>
            </w:pPr>
            <w:r w:rsidRPr="00E212D2">
              <w:rPr>
                <w:b/>
                <w:sz w:val="22"/>
                <w:szCs w:val="22"/>
              </w:rPr>
              <w:t>(кв.м)</w:t>
            </w:r>
          </w:p>
        </w:tc>
      </w:tr>
      <w:tr w:rsidR="007978EC" w:rsidTr="007978EC">
        <w:trPr>
          <w:trHeight w:val="2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8EC" w:rsidRDefault="007978EC" w:rsidP="009A0E06">
            <w:pPr>
              <w:rPr>
                <w:sz w:val="22"/>
                <w:szCs w:val="22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EC" w:rsidRPr="00E212D2" w:rsidRDefault="007978EC" w:rsidP="009A0E06">
            <w:pPr>
              <w:jc w:val="center"/>
              <w:rPr>
                <w:b/>
                <w:sz w:val="22"/>
                <w:szCs w:val="22"/>
              </w:rPr>
            </w:pPr>
            <w:r w:rsidRPr="00E212D2">
              <w:rPr>
                <w:b/>
                <w:sz w:val="22"/>
                <w:szCs w:val="22"/>
              </w:rPr>
              <w:t>Заплановано на приватизацію</w:t>
            </w:r>
          </w:p>
          <w:p w:rsidR="007978EC" w:rsidRPr="00E212D2" w:rsidRDefault="007978EC" w:rsidP="009A0E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EC" w:rsidRPr="00E212D2" w:rsidRDefault="007978EC" w:rsidP="009A0E06">
            <w:pPr>
              <w:jc w:val="center"/>
              <w:rPr>
                <w:b/>
                <w:sz w:val="22"/>
                <w:szCs w:val="22"/>
              </w:rPr>
            </w:pPr>
            <w:r w:rsidRPr="00E212D2">
              <w:rPr>
                <w:b/>
                <w:sz w:val="22"/>
                <w:szCs w:val="22"/>
              </w:rPr>
              <w:t>Фактично приватизовано</w:t>
            </w:r>
          </w:p>
        </w:tc>
        <w:tc>
          <w:tcPr>
            <w:tcW w:w="2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8EC" w:rsidRDefault="007978EC" w:rsidP="009A0E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8EC" w:rsidRDefault="007978EC" w:rsidP="009A0E06">
            <w:pPr>
              <w:rPr>
                <w:sz w:val="22"/>
                <w:szCs w:val="22"/>
              </w:rPr>
            </w:pPr>
          </w:p>
        </w:tc>
      </w:tr>
      <w:tr w:rsidR="007978EC" w:rsidRPr="007978EC" w:rsidTr="007978EC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8EC" w:rsidRDefault="007978EC" w:rsidP="009A0E06">
            <w:pPr>
              <w:rPr>
                <w:sz w:val="22"/>
                <w:szCs w:val="22"/>
              </w:rPr>
            </w:pPr>
          </w:p>
        </w:tc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8EC" w:rsidRPr="00C31CC7" w:rsidRDefault="007978EC" w:rsidP="009A0E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Всього</w:t>
            </w:r>
          </w:p>
          <w:p w:rsidR="007978EC" w:rsidRDefault="007978EC" w:rsidP="009A0E06">
            <w:pPr>
              <w:rPr>
                <w:sz w:val="22"/>
                <w:szCs w:val="22"/>
              </w:rPr>
            </w:pP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EC" w:rsidRDefault="007978EC" w:rsidP="009A0E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всього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EC" w:rsidRDefault="007978EC" w:rsidP="009A0E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т.ч.</w:t>
            </w:r>
          </w:p>
        </w:tc>
        <w:tc>
          <w:tcPr>
            <w:tcW w:w="2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78EC" w:rsidRPr="00D21BA4" w:rsidRDefault="007978EC" w:rsidP="009A0E0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EC" w:rsidRPr="007978EC" w:rsidRDefault="007978EC" w:rsidP="009A0E06">
            <w:pPr>
              <w:jc w:val="center"/>
              <w:rPr>
                <w:sz w:val="22"/>
                <w:szCs w:val="22"/>
              </w:rPr>
            </w:pPr>
            <w:r w:rsidRPr="007978EC">
              <w:rPr>
                <w:sz w:val="22"/>
                <w:szCs w:val="22"/>
              </w:rPr>
              <w:t>викуп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78EC" w:rsidRPr="007978EC" w:rsidRDefault="007978EC" w:rsidP="009A0E06">
            <w:pPr>
              <w:jc w:val="center"/>
              <w:rPr>
                <w:sz w:val="22"/>
                <w:szCs w:val="22"/>
              </w:rPr>
            </w:pPr>
            <w:r w:rsidRPr="007978EC">
              <w:rPr>
                <w:sz w:val="22"/>
                <w:szCs w:val="22"/>
              </w:rPr>
              <w:t>аукціон</w:t>
            </w:r>
          </w:p>
          <w:p w:rsidR="007978EC" w:rsidRPr="007978EC" w:rsidRDefault="007978EC" w:rsidP="009A0E06">
            <w:pPr>
              <w:jc w:val="center"/>
              <w:rPr>
                <w:sz w:val="22"/>
                <w:szCs w:val="22"/>
              </w:rPr>
            </w:pPr>
          </w:p>
        </w:tc>
      </w:tr>
      <w:tr w:rsidR="007978EC" w:rsidTr="007978EC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8EC" w:rsidRDefault="007978EC" w:rsidP="009A0E06">
            <w:pPr>
              <w:rPr>
                <w:sz w:val="22"/>
                <w:szCs w:val="22"/>
              </w:rPr>
            </w:pPr>
          </w:p>
        </w:tc>
        <w:tc>
          <w:tcPr>
            <w:tcW w:w="1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8EC" w:rsidRPr="00074AF4" w:rsidRDefault="007978EC" w:rsidP="009A0E06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8EC" w:rsidRDefault="007978EC" w:rsidP="009A0E06">
            <w:pPr>
              <w:rPr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EC" w:rsidRPr="00074AF4" w:rsidRDefault="007978EC" w:rsidP="009A0E06">
            <w:pPr>
              <w:jc w:val="center"/>
              <w:rPr>
                <w:sz w:val="22"/>
                <w:szCs w:val="22"/>
              </w:rPr>
            </w:pPr>
            <w:r w:rsidRPr="00074AF4">
              <w:rPr>
                <w:sz w:val="22"/>
                <w:szCs w:val="22"/>
              </w:rPr>
              <w:t>викуп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EC" w:rsidRPr="00074AF4" w:rsidRDefault="007978EC" w:rsidP="009A0E06">
            <w:pPr>
              <w:jc w:val="center"/>
              <w:rPr>
                <w:sz w:val="22"/>
                <w:szCs w:val="22"/>
              </w:rPr>
            </w:pPr>
            <w:r w:rsidRPr="00074AF4">
              <w:rPr>
                <w:sz w:val="22"/>
                <w:szCs w:val="22"/>
              </w:rPr>
              <w:t>аукціон</w:t>
            </w:r>
          </w:p>
        </w:tc>
        <w:tc>
          <w:tcPr>
            <w:tcW w:w="2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8EC" w:rsidRDefault="007978EC" w:rsidP="009A0E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8EC" w:rsidRDefault="007978EC" w:rsidP="009A0E06">
            <w:pPr>
              <w:rPr>
                <w:sz w:val="22"/>
                <w:szCs w:val="22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8EC" w:rsidRDefault="007978EC" w:rsidP="009A0E06">
            <w:pPr>
              <w:jc w:val="center"/>
              <w:rPr>
                <w:sz w:val="22"/>
                <w:szCs w:val="22"/>
              </w:rPr>
            </w:pPr>
          </w:p>
        </w:tc>
      </w:tr>
      <w:tr w:rsidR="007978EC" w:rsidRPr="0089282F" w:rsidTr="007978EC">
        <w:trPr>
          <w:trHeight w:val="404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EC" w:rsidRPr="0089282F" w:rsidRDefault="007978EC" w:rsidP="009A0E06">
            <w:pPr>
              <w:jc w:val="center"/>
              <w:rPr>
                <w:sz w:val="28"/>
                <w:szCs w:val="28"/>
              </w:rPr>
            </w:pPr>
            <w:r w:rsidRPr="0089282F">
              <w:rPr>
                <w:sz w:val="28"/>
                <w:szCs w:val="28"/>
              </w:rPr>
              <w:t>2015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EC" w:rsidRPr="00074AF4" w:rsidRDefault="007978EC" w:rsidP="00C31CC7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EC" w:rsidRPr="0089282F" w:rsidRDefault="007978EC" w:rsidP="009A0E06">
            <w:pPr>
              <w:jc w:val="center"/>
              <w:rPr>
                <w:sz w:val="28"/>
                <w:szCs w:val="28"/>
              </w:rPr>
            </w:pPr>
            <w:r w:rsidRPr="0089282F">
              <w:rPr>
                <w:sz w:val="28"/>
                <w:szCs w:val="28"/>
              </w:rPr>
              <w:t>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EC" w:rsidRPr="0089282F" w:rsidRDefault="007978EC" w:rsidP="009A0E06">
            <w:pPr>
              <w:jc w:val="center"/>
              <w:rPr>
                <w:sz w:val="28"/>
                <w:szCs w:val="28"/>
              </w:rPr>
            </w:pPr>
            <w:r w:rsidRPr="0089282F">
              <w:rPr>
                <w:sz w:val="28"/>
                <w:szCs w:val="28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EC" w:rsidRPr="0089282F" w:rsidRDefault="007978EC" w:rsidP="009A0E06">
            <w:pPr>
              <w:jc w:val="center"/>
              <w:rPr>
                <w:sz w:val="28"/>
                <w:szCs w:val="28"/>
              </w:rPr>
            </w:pPr>
            <w:r w:rsidRPr="0089282F">
              <w:rPr>
                <w:sz w:val="28"/>
                <w:szCs w:val="28"/>
              </w:rPr>
              <w:t>1</w:t>
            </w:r>
          </w:p>
        </w:tc>
        <w:tc>
          <w:tcPr>
            <w:tcW w:w="2260" w:type="dxa"/>
            <w:tcBorders>
              <w:left w:val="single" w:sz="4" w:space="0" w:color="auto"/>
              <w:right w:val="single" w:sz="4" w:space="0" w:color="auto"/>
            </w:tcBorders>
          </w:tcPr>
          <w:p w:rsidR="007978EC" w:rsidRPr="0089282F" w:rsidRDefault="007978EC" w:rsidP="009A0E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1057,99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EC" w:rsidRPr="0089282F" w:rsidRDefault="007978EC" w:rsidP="009A0E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167,0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7978EC" w:rsidRPr="0089282F" w:rsidRDefault="007978EC" w:rsidP="009A0E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356,0</w:t>
            </w:r>
          </w:p>
        </w:tc>
      </w:tr>
      <w:tr w:rsidR="007978EC" w:rsidRPr="0089282F" w:rsidTr="007978EC">
        <w:trPr>
          <w:trHeight w:val="424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EC" w:rsidRPr="0089282F" w:rsidRDefault="007978EC" w:rsidP="009A0E06">
            <w:pPr>
              <w:jc w:val="center"/>
              <w:rPr>
                <w:sz w:val="28"/>
                <w:szCs w:val="28"/>
              </w:rPr>
            </w:pPr>
            <w:r w:rsidRPr="0089282F">
              <w:rPr>
                <w:sz w:val="28"/>
                <w:szCs w:val="28"/>
              </w:rPr>
              <w:t>2016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EC" w:rsidRPr="00074AF4" w:rsidRDefault="007978EC" w:rsidP="009A0E06">
            <w:pPr>
              <w:jc w:val="center"/>
              <w:rPr>
                <w:sz w:val="28"/>
                <w:szCs w:val="28"/>
                <w:highlight w:val="yellow"/>
              </w:rPr>
            </w:pPr>
            <w:r w:rsidRPr="0089282F">
              <w:rPr>
                <w:sz w:val="28"/>
                <w:szCs w:val="28"/>
              </w:rPr>
              <w:t>16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EC" w:rsidRPr="0089282F" w:rsidRDefault="007978EC" w:rsidP="009A0E06">
            <w:pPr>
              <w:jc w:val="center"/>
              <w:rPr>
                <w:sz w:val="28"/>
                <w:szCs w:val="28"/>
              </w:rPr>
            </w:pPr>
            <w:r w:rsidRPr="0089282F">
              <w:rPr>
                <w:sz w:val="28"/>
                <w:szCs w:val="28"/>
              </w:rPr>
              <w:t>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EC" w:rsidRPr="0089282F" w:rsidRDefault="007978EC" w:rsidP="009A0E06">
            <w:pPr>
              <w:jc w:val="center"/>
              <w:rPr>
                <w:sz w:val="28"/>
                <w:szCs w:val="28"/>
              </w:rPr>
            </w:pPr>
            <w:r w:rsidRPr="0089282F">
              <w:rPr>
                <w:sz w:val="28"/>
                <w:szCs w:val="28"/>
              </w:rPr>
              <w:t>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EC" w:rsidRPr="0089282F" w:rsidRDefault="007978EC" w:rsidP="009A0E06">
            <w:pPr>
              <w:jc w:val="center"/>
              <w:rPr>
                <w:sz w:val="28"/>
                <w:szCs w:val="28"/>
              </w:rPr>
            </w:pPr>
            <w:r w:rsidRPr="0089282F">
              <w:rPr>
                <w:sz w:val="28"/>
                <w:szCs w:val="28"/>
              </w:rPr>
              <w:t>2</w:t>
            </w:r>
          </w:p>
        </w:tc>
        <w:tc>
          <w:tcPr>
            <w:tcW w:w="2260" w:type="dxa"/>
            <w:tcBorders>
              <w:left w:val="single" w:sz="4" w:space="0" w:color="auto"/>
              <w:right w:val="single" w:sz="4" w:space="0" w:color="auto"/>
            </w:tcBorders>
          </w:tcPr>
          <w:p w:rsidR="007978EC" w:rsidRPr="0089282F" w:rsidRDefault="007978EC" w:rsidP="009A0E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EC" w:rsidRPr="0089282F" w:rsidRDefault="007978EC" w:rsidP="009A0E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304,1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7978EC" w:rsidRPr="0089282F" w:rsidRDefault="007978EC" w:rsidP="009A0E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339,2</w:t>
            </w:r>
          </w:p>
        </w:tc>
      </w:tr>
      <w:tr w:rsidR="007978EC" w:rsidRPr="0089282F" w:rsidTr="007978EC">
        <w:trPr>
          <w:trHeight w:val="424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EC" w:rsidRPr="0089282F" w:rsidRDefault="007978EC" w:rsidP="009A0E06">
            <w:pPr>
              <w:jc w:val="center"/>
              <w:rPr>
                <w:sz w:val="28"/>
                <w:szCs w:val="28"/>
              </w:rPr>
            </w:pPr>
            <w:r w:rsidRPr="0089282F">
              <w:rPr>
                <w:sz w:val="28"/>
                <w:szCs w:val="28"/>
              </w:rPr>
              <w:t>2017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EC" w:rsidRPr="007978EC" w:rsidRDefault="007978EC" w:rsidP="007978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EC" w:rsidRPr="0089282F" w:rsidRDefault="007978EC" w:rsidP="009A0E06">
            <w:pPr>
              <w:jc w:val="center"/>
              <w:rPr>
                <w:sz w:val="28"/>
                <w:szCs w:val="28"/>
              </w:rPr>
            </w:pPr>
            <w:r w:rsidRPr="0089282F">
              <w:rPr>
                <w:sz w:val="28"/>
                <w:szCs w:val="28"/>
              </w:rPr>
              <w:t>-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EC" w:rsidRPr="0089282F" w:rsidRDefault="007978EC" w:rsidP="009A0E06">
            <w:pPr>
              <w:jc w:val="center"/>
              <w:rPr>
                <w:sz w:val="28"/>
                <w:szCs w:val="28"/>
              </w:rPr>
            </w:pPr>
            <w:r w:rsidRPr="0089282F">
              <w:rPr>
                <w:sz w:val="28"/>
                <w:szCs w:val="28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EC" w:rsidRPr="0089282F" w:rsidRDefault="007978EC" w:rsidP="009A0E06">
            <w:pPr>
              <w:jc w:val="center"/>
              <w:rPr>
                <w:sz w:val="28"/>
                <w:szCs w:val="28"/>
              </w:rPr>
            </w:pPr>
            <w:r w:rsidRPr="0089282F">
              <w:rPr>
                <w:sz w:val="28"/>
                <w:szCs w:val="28"/>
              </w:rPr>
              <w:t>-</w:t>
            </w:r>
          </w:p>
        </w:tc>
        <w:tc>
          <w:tcPr>
            <w:tcW w:w="2260" w:type="dxa"/>
            <w:tcBorders>
              <w:left w:val="single" w:sz="4" w:space="0" w:color="auto"/>
              <w:right w:val="single" w:sz="4" w:space="0" w:color="auto"/>
            </w:tcBorders>
          </w:tcPr>
          <w:p w:rsidR="007978EC" w:rsidRPr="0089282F" w:rsidRDefault="007978EC" w:rsidP="009A0E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EC" w:rsidRPr="0089282F" w:rsidRDefault="007978EC" w:rsidP="009A0E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7978EC" w:rsidRPr="0089282F" w:rsidRDefault="007978EC" w:rsidP="009A0E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978EC" w:rsidRPr="0089282F" w:rsidTr="007978EC">
        <w:trPr>
          <w:trHeight w:val="424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EC" w:rsidRPr="0089282F" w:rsidRDefault="007978EC" w:rsidP="009A0E06">
            <w:pPr>
              <w:jc w:val="center"/>
              <w:rPr>
                <w:sz w:val="28"/>
                <w:szCs w:val="28"/>
              </w:rPr>
            </w:pPr>
            <w:r w:rsidRPr="0089282F">
              <w:rPr>
                <w:sz w:val="28"/>
                <w:szCs w:val="28"/>
              </w:rPr>
              <w:t>2018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EC" w:rsidRPr="00074AF4" w:rsidRDefault="007978EC" w:rsidP="009A0E06">
            <w:pPr>
              <w:jc w:val="center"/>
              <w:rPr>
                <w:sz w:val="28"/>
                <w:szCs w:val="28"/>
                <w:highlight w:val="yellow"/>
              </w:rPr>
            </w:pPr>
            <w:r w:rsidRPr="0089282F">
              <w:rPr>
                <w:sz w:val="28"/>
                <w:szCs w:val="28"/>
              </w:rPr>
              <w:t>32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EC" w:rsidRPr="0089282F" w:rsidRDefault="007978EC" w:rsidP="009A0E06">
            <w:pPr>
              <w:jc w:val="center"/>
              <w:rPr>
                <w:sz w:val="28"/>
                <w:szCs w:val="28"/>
              </w:rPr>
            </w:pPr>
            <w:r w:rsidRPr="0089282F">
              <w:rPr>
                <w:sz w:val="28"/>
                <w:szCs w:val="28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EC" w:rsidRPr="0089282F" w:rsidRDefault="007978EC" w:rsidP="009A0E06">
            <w:pPr>
              <w:jc w:val="center"/>
              <w:rPr>
                <w:sz w:val="28"/>
                <w:szCs w:val="28"/>
              </w:rPr>
            </w:pPr>
            <w:r w:rsidRPr="0089282F">
              <w:rPr>
                <w:sz w:val="28"/>
                <w:szCs w:val="28"/>
              </w:rPr>
              <w:t>14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EC" w:rsidRPr="0089282F" w:rsidRDefault="007978EC" w:rsidP="009A0E06">
            <w:pPr>
              <w:jc w:val="center"/>
              <w:rPr>
                <w:sz w:val="28"/>
                <w:szCs w:val="28"/>
              </w:rPr>
            </w:pPr>
            <w:r w:rsidRPr="0089282F">
              <w:rPr>
                <w:sz w:val="28"/>
                <w:szCs w:val="28"/>
              </w:rPr>
              <w:t>-</w:t>
            </w:r>
          </w:p>
        </w:tc>
        <w:tc>
          <w:tcPr>
            <w:tcW w:w="2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EC" w:rsidRPr="0089282F" w:rsidRDefault="007978EC" w:rsidP="009A0E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8042,39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EC" w:rsidRPr="0089282F" w:rsidRDefault="007978EC" w:rsidP="009A0E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1216,4</w:t>
            </w: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8EC" w:rsidRPr="0089282F" w:rsidRDefault="007978EC" w:rsidP="009A0E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9A0E06" w:rsidRPr="009A0E06" w:rsidRDefault="009A0E06" w:rsidP="000013EA">
      <w:pPr>
        <w:pStyle w:val="a5"/>
        <w:tabs>
          <w:tab w:val="left" w:pos="0"/>
        </w:tabs>
        <w:jc w:val="both"/>
        <w:rPr>
          <w:rFonts w:eastAsia="Arial Unicode MS"/>
          <w:szCs w:val="28"/>
          <w:lang w:val="en-US"/>
        </w:rPr>
      </w:pPr>
    </w:p>
    <w:p w:rsidR="009A0E06" w:rsidRPr="00E212D2" w:rsidRDefault="009A0E06" w:rsidP="00E212D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Визначення початкової вартості та ціни продажу об'єктів комунальної власності здійснюється шляхом проведення незалежної оцінки в порядку, встановленому законодавством з питань оцінки майна, майнових прав та професійної оціночної діяльності. </w:t>
      </w:r>
      <w:r w:rsidRPr="00E212D2">
        <w:rPr>
          <w:sz w:val="28"/>
          <w:szCs w:val="28"/>
        </w:rPr>
        <w:t>Відбір суб’єктів оціночної діяльності для проведення оцінки вартості майна об’єктів комунальної власності територіальної громади міста, що підлягають приватизації здійснюється на конкурсних засадах.</w:t>
      </w:r>
    </w:p>
    <w:p w:rsidR="00F2067C" w:rsidRPr="003E2E5B" w:rsidRDefault="003E2E5B" w:rsidP="00F2067C">
      <w:pPr>
        <w:pStyle w:val="a5"/>
        <w:tabs>
          <w:tab w:val="left" w:pos="709"/>
          <w:tab w:val="left" w:pos="2410"/>
          <w:tab w:val="left" w:pos="2835"/>
        </w:tabs>
        <w:jc w:val="both"/>
        <w:rPr>
          <w:rStyle w:val="xbe"/>
          <w:szCs w:val="28"/>
        </w:rPr>
      </w:pPr>
      <w:r>
        <w:rPr>
          <w:szCs w:val="28"/>
        </w:rPr>
        <w:tab/>
      </w:r>
      <w:r w:rsidR="00967148">
        <w:rPr>
          <w:szCs w:val="28"/>
        </w:rPr>
        <w:t>Д</w:t>
      </w:r>
      <w:r w:rsidR="00F2067C">
        <w:rPr>
          <w:szCs w:val="28"/>
        </w:rPr>
        <w:t>епартамент</w:t>
      </w:r>
      <w:r w:rsidR="00967148">
        <w:rPr>
          <w:szCs w:val="28"/>
        </w:rPr>
        <w:t>ом</w:t>
      </w:r>
      <w:r w:rsidR="00F2067C">
        <w:rPr>
          <w:szCs w:val="28"/>
        </w:rPr>
        <w:t xml:space="preserve"> економіки міської ради </w:t>
      </w:r>
      <w:r w:rsidR="00F2067C" w:rsidRPr="003E2E5B">
        <w:rPr>
          <w:szCs w:val="28"/>
        </w:rPr>
        <w:t>вжива</w:t>
      </w:r>
      <w:r w:rsidR="00967148">
        <w:rPr>
          <w:szCs w:val="28"/>
        </w:rPr>
        <w:t>ються</w:t>
      </w:r>
      <w:r w:rsidR="00F2067C" w:rsidRPr="003E2E5B">
        <w:rPr>
          <w:szCs w:val="28"/>
        </w:rPr>
        <w:t xml:space="preserve"> заходи щодо широкого інформування</w:t>
      </w:r>
      <w:r w:rsidR="00967148">
        <w:rPr>
          <w:szCs w:val="28"/>
        </w:rPr>
        <w:t xml:space="preserve"> громадськості міста</w:t>
      </w:r>
      <w:r w:rsidR="00F2067C" w:rsidRPr="003E2E5B">
        <w:rPr>
          <w:szCs w:val="28"/>
        </w:rPr>
        <w:t xml:space="preserve"> про продаж</w:t>
      </w:r>
      <w:r w:rsidR="00F2067C" w:rsidRPr="003E2E5B">
        <w:t xml:space="preserve"> </w:t>
      </w:r>
      <w:r w:rsidR="00F2067C">
        <w:rPr>
          <w:rStyle w:val="xbe"/>
          <w:szCs w:val="28"/>
        </w:rPr>
        <w:t xml:space="preserve">об’єктів </w:t>
      </w:r>
      <w:r w:rsidR="00967148">
        <w:rPr>
          <w:rStyle w:val="xbe"/>
          <w:szCs w:val="28"/>
        </w:rPr>
        <w:t xml:space="preserve">комунальної власності. </w:t>
      </w:r>
      <w:r w:rsidR="00843C2A">
        <w:rPr>
          <w:rStyle w:val="xbe"/>
          <w:szCs w:val="28"/>
        </w:rPr>
        <w:t>П</w:t>
      </w:r>
      <w:r w:rsidR="00F2067C" w:rsidRPr="003E2E5B">
        <w:rPr>
          <w:rStyle w:val="xbe"/>
          <w:szCs w:val="28"/>
        </w:rPr>
        <w:t>овідомлення</w:t>
      </w:r>
      <w:r w:rsidR="00843C2A">
        <w:rPr>
          <w:rStyle w:val="xbe"/>
          <w:szCs w:val="28"/>
        </w:rPr>
        <w:t xml:space="preserve"> про приватизацію</w:t>
      </w:r>
      <w:r w:rsidR="00F2067C" w:rsidRPr="003E2E5B">
        <w:rPr>
          <w:rStyle w:val="xbe"/>
          <w:szCs w:val="28"/>
        </w:rPr>
        <w:t xml:space="preserve"> </w:t>
      </w:r>
      <w:r w:rsidR="00843C2A">
        <w:rPr>
          <w:rStyle w:val="xbe"/>
          <w:szCs w:val="28"/>
        </w:rPr>
        <w:t>оприлюднюю</w:t>
      </w:r>
      <w:r w:rsidR="00F2067C">
        <w:rPr>
          <w:rStyle w:val="xbe"/>
          <w:szCs w:val="28"/>
        </w:rPr>
        <w:t>ться в  місцев</w:t>
      </w:r>
      <w:r w:rsidR="00843C2A">
        <w:rPr>
          <w:rStyle w:val="xbe"/>
          <w:szCs w:val="28"/>
        </w:rPr>
        <w:t>их засобах масової інформації та</w:t>
      </w:r>
      <w:r w:rsidR="00F2067C">
        <w:rPr>
          <w:rStyle w:val="xbe"/>
          <w:szCs w:val="28"/>
        </w:rPr>
        <w:t xml:space="preserve"> на веб-порталі Чернівецької</w:t>
      </w:r>
      <w:r w:rsidR="00F2067C" w:rsidRPr="003E2E5B">
        <w:rPr>
          <w:rStyle w:val="xbe"/>
          <w:szCs w:val="28"/>
        </w:rPr>
        <w:t xml:space="preserve"> міської ради. </w:t>
      </w:r>
    </w:p>
    <w:p w:rsidR="00FB3C69" w:rsidRDefault="00FB3C69" w:rsidP="000013EA">
      <w:pPr>
        <w:pStyle w:val="a5"/>
        <w:tabs>
          <w:tab w:val="left" w:pos="709"/>
          <w:tab w:val="left" w:pos="2410"/>
          <w:tab w:val="left" w:pos="2835"/>
        </w:tabs>
        <w:jc w:val="both"/>
        <w:rPr>
          <w:szCs w:val="28"/>
        </w:rPr>
      </w:pPr>
      <w:r>
        <w:rPr>
          <w:szCs w:val="28"/>
        </w:rPr>
        <w:tab/>
        <w:t xml:space="preserve">Відповідно до статті 27 Закону України </w:t>
      </w:r>
      <w:r w:rsidRPr="005E546A">
        <w:rPr>
          <w:szCs w:val="28"/>
        </w:rPr>
        <w:t>«Про приватизацію державного і комунального майна»</w:t>
      </w:r>
      <w:r>
        <w:rPr>
          <w:szCs w:val="28"/>
        </w:rPr>
        <w:t xml:space="preserve"> </w:t>
      </w:r>
      <w:r w:rsidRPr="00FA18AE">
        <w:rPr>
          <w:szCs w:val="28"/>
        </w:rPr>
        <w:t>департамент</w:t>
      </w:r>
      <w:r w:rsidR="007978EC" w:rsidRPr="00FA18AE">
        <w:rPr>
          <w:szCs w:val="28"/>
        </w:rPr>
        <w:t>ом</w:t>
      </w:r>
      <w:r w:rsidRPr="00FA18AE">
        <w:rPr>
          <w:szCs w:val="28"/>
        </w:rPr>
        <w:t xml:space="preserve"> е</w:t>
      </w:r>
      <w:r>
        <w:rPr>
          <w:szCs w:val="28"/>
        </w:rPr>
        <w:t xml:space="preserve">кономіки міської ради, як органом </w:t>
      </w:r>
      <w:r>
        <w:rPr>
          <w:szCs w:val="28"/>
        </w:rPr>
        <w:lastRenderedPageBreak/>
        <w:t>приватизації Чернівецької міської ради здійсню</w:t>
      </w:r>
      <w:r w:rsidR="00FA18AE">
        <w:rPr>
          <w:szCs w:val="28"/>
        </w:rPr>
        <w:t>вався</w:t>
      </w:r>
      <w:r>
        <w:rPr>
          <w:szCs w:val="28"/>
        </w:rPr>
        <w:t xml:space="preserve"> контроль за ви</w:t>
      </w:r>
      <w:r w:rsidR="00731060">
        <w:rPr>
          <w:szCs w:val="28"/>
        </w:rPr>
        <w:t xml:space="preserve">конанням </w:t>
      </w:r>
      <w:r w:rsidR="00731060" w:rsidRPr="00FA18AE">
        <w:rPr>
          <w:szCs w:val="28"/>
        </w:rPr>
        <w:t xml:space="preserve">умов договорів купівлі - </w:t>
      </w:r>
      <w:r w:rsidRPr="00FA18AE">
        <w:rPr>
          <w:szCs w:val="28"/>
        </w:rPr>
        <w:t>продажу</w:t>
      </w:r>
      <w:r w:rsidR="007978EC" w:rsidRPr="00FA18AE">
        <w:rPr>
          <w:szCs w:val="28"/>
        </w:rPr>
        <w:t xml:space="preserve"> об’єктів приватизації</w:t>
      </w:r>
      <w:r w:rsidR="00FA18AE">
        <w:rPr>
          <w:szCs w:val="28"/>
        </w:rPr>
        <w:t>.</w:t>
      </w:r>
    </w:p>
    <w:p w:rsidR="00FB3C69" w:rsidRDefault="00FB3C69" w:rsidP="000013EA">
      <w:pPr>
        <w:pStyle w:val="a5"/>
        <w:tabs>
          <w:tab w:val="left" w:pos="709"/>
          <w:tab w:val="left" w:pos="2410"/>
          <w:tab w:val="left" w:pos="2835"/>
        </w:tabs>
        <w:jc w:val="both"/>
        <w:rPr>
          <w:rFonts w:eastAsia="Arial Unicode MS"/>
          <w:szCs w:val="28"/>
        </w:rPr>
      </w:pPr>
      <w:r>
        <w:rPr>
          <w:szCs w:val="28"/>
        </w:rPr>
        <w:tab/>
      </w:r>
      <w:r w:rsidR="00886AC6">
        <w:rPr>
          <w:szCs w:val="28"/>
        </w:rPr>
        <w:t>На 2018 рік було заплановано</w:t>
      </w:r>
      <w:r w:rsidR="00843C2A">
        <w:rPr>
          <w:szCs w:val="28"/>
        </w:rPr>
        <w:t xml:space="preserve"> та здійснено</w:t>
      </w:r>
      <w:r w:rsidR="00886AC6">
        <w:rPr>
          <w:szCs w:val="28"/>
        </w:rPr>
        <w:t xml:space="preserve"> 9 перевірок виконання умов договорів купівлі-продажу об’єктів приватизації за адресами: </w:t>
      </w:r>
      <w:r w:rsidR="00886AC6">
        <w:rPr>
          <w:rFonts w:eastAsia="Arial Unicode MS"/>
          <w:szCs w:val="28"/>
        </w:rPr>
        <w:t>проспект Незалежності, 48, завулок Хмельницького Богдана, 11, вул. Чайковського Петра, 5, вул. Крилова Івана, 2, вул. Кобилиці Лук</w:t>
      </w:r>
      <w:r w:rsidR="00886AC6" w:rsidRPr="00886AC6">
        <w:rPr>
          <w:rFonts w:eastAsia="Arial Unicode MS"/>
          <w:szCs w:val="28"/>
          <w:lang w:val="ru-RU"/>
        </w:rPr>
        <w:t>’</w:t>
      </w:r>
      <w:r w:rsidR="00886AC6">
        <w:rPr>
          <w:rFonts w:eastAsia="Arial Unicode MS"/>
          <w:szCs w:val="28"/>
        </w:rPr>
        <w:t xml:space="preserve">яна, 78, вул. Головна, 33, вул. Університетська, 24, вул. Бетховена Людвіга, 3, вул. Сагайдачного Петра Гетьмана, 79. </w:t>
      </w:r>
      <w:r w:rsidR="00843C2A">
        <w:rPr>
          <w:rFonts w:eastAsia="Arial Unicode MS"/>
          <w:szCs w:val="28"/>
        </w:rPr>
        <w:t xml:space="preserve">За результатами </w:t>
      </w:r>
      <w:r w:rsidR="00843C2A">
        <w:rPr>
          <w:szCs w:val="28"/>
        </w:rPr>
        <w:t>складено 2 акти підсумкової перевірки (</w:t>
      </w:r>
      <w:r w:rsidR="00843C2A">
        <w:rPr>
          <w:rFonts w:eastAsia="Arial Unicode MS"/>
          <w:szCs w:val="28"/>
        </w:rPr>
        <w:t>проспект Незалежності, 48, завулок Хмельницького Богдана, 11)</w:t>
      </w:r>
      <w:r w:rsidR="00843C2A">
        <w:rPr>
          <w:szCs w:val="28"/>
        </w:rPr>
        <w:t>, по яких минув трьохрічний термін контролю та 7 актів поточної перевірки.</w:t>
      </w:r>
    </w:p>
    <w:p w:rsidR="0061444E" w:rsidRPr="006B05AE" w:rsidRDefault="006665C3" w:rsidP="006B05AE">
      <w:pPr>
        <w:jc w:val="both"/>
        <w:rPr>
          <w:rFonts w:eastAsia="Arial Unicode MS"/>
          <w:szCs w:val="28"/>
        </w:rPr>
      </w:pPr>
      <w:r>
        <w:rPr>
          <w:rFonts w:eastAsia="Arial Unicode MS"/>
          <w:szCs w:val="28"/>
        </w:rPr>
        <w:tab/>
      </w:r>
      <w:r w:rsidR="00A937CD" w:rsidRPr="006B05AE">
        <w:rPr>
          <w:rFonts w:eastAsia="Arial Unicode MS"/>
          <w:sz w:val="28"/>
          <w:szCs w:val="28"/>
        </w:rPr>
        <w:t xml:space="preserve">Об'єкти комунальної власності, які були включені до переліку приватизації на 2018 рік </w:t>
      </w:r>
      <w:r w:rsidR="003A755B" w:rsidRPr="006B05AE">
        <w:rPr>
          <w:rFonts w:eastAsia="Arial Unicode MS"/>
          <w:sz w:val="28"/>
          <w:szCs w:val="28"/>
        </w:rPr>
        <w:t>шляхом продажу з аукціону вклю</w:t>
      </w:r>
      <w:r w:rsidR="00646814" w:rsidRPr="006B05AE">
        <w:rPr>
          <w:rFonts w:eastAsia="Arial Unicode MS"/>
          <w:sz w:val="28"/>
          <w:szCs w:val="28"/>
        </w:rPr>
        <w:t xml:space="preserve">чені до переліку </w:t>
      </w:r>
      <w:r w:rsidR="006B05AE" w:rsidRPr="006B05AE">
        <w:rPr>
          <w:rFonts w:eastAsia="Arial Unicode MS"/>
          <w:sz w:val="28"/>
          <w:szCs w:val="28"/>
        </w:rPr>
        <w:t>об’єктів комунальної власності міста Чернівців, які підлягають приватизації в 2018 - 2019 роках</w:t>
      </w:r>
      <w:r w:rsidR="006B05AE">
        <w:rPr>
          <w:rFonts w:eastAsia="Arial Unicode MS"/>
          <w:sz w:val="28"/>
          <w:szCs w:val="28"/>
        </w:rPr>
        <w:t xml:space="preserve">, затвердженого рішенням </w:t>
      </w:r>
      <w:r w:rsidR="006B05AE" w:rsidRPr="006F1971">
        <w:rPr>
          <w:sz w:val="28"/>
          <w:szCs w:val="28"/>
        </w:rPr>
        <w:t xml:space="preserve">міської ради від </w:t>
      </w:r>
      <w:r w:rsidR="006B05AE">
        <w:rPr>
          <w:sz w:val="28"/>
          <w:szCs w:val="28"/>
        </w:rPr>
        <w:t>25</w:t>
      </w:r>
      <w:r w:rsidR="006B05AE" w:rsidRPr="006F1971">
        <w:rPr>
          <w:sz w:val="28"/>
          <w:szCs w:val="28"/>
        </w:rPr>
        <w:t>.1</w:t>
      </w:r>
      <w:r w:rsidR="006B05AE">
        <w:rPr>
          <w:sz w:val="28"/>
          <w:szCs w:val="28"/>
        </w:rPr>
        <w:t>0</w:t>
      </w:r>
      <w:r w:rsidR="006B05AE" w:rsidRPr="006F1971">
        <w:rPr>
          <w:sz w:val="28"/>
          <w:szCs w:val="28"/>
        </w:rPr>
        <w:t>.201</w:t>
      </w:r>
      <w:r w:rsidR="006B05AE">
        <w:rPr>
          <w:sz w:val="28"/>
          <w:szCs w:val="28"/>
        </w:rPr>
        <w:t>8</w:t>
      </w:r>
      <w:r w:rsidR="006B05AE" w:rsidRPr="006F1971">
        <w:rPr>
          <w:sz w:val="28"/>
          <w:szCs w:val="28"/>
        </w:rPr>
        <w:t>р. №1</w:t>
      </w:r>
      <w:r w:rsidR="006B05AE">
        <w:rPr>
          <w:sz w:val="28"/>
          <w:szCs w:val="28"/>
        </w:rPr>
        <w:t>4</w:t>
      </w:r>
      <w:r w:rsidR="006B05AE" w:rsidRPr="006F1971">
        <w:rPr>
          <w:sz w:val="28"/>
          <w:szCs w:val="28"/>
        </w:rPr>
        <w:t>6</w:t>
      </w:r>
      <w:r w:rsidR="006B05AE">
        <w:rPr>
          <w:sz w:val="28"/>
          <w:szCs w:val="28"/>
        </w:rPr>
        <w:t>1.</w:t>
      </w:r>
    </w:p>
    <w:p w:rsidR="00B72D5C" w:rsidRPr="00B72D5C" w:rsidRDefault="00F2067C" w:rsidP="00B72D5C">
      <w:pPr>
        <w:pStyle w:val="Default"/>
        <w:jc w:val="both"/>
        <w:rPr>
          <w:sz w:val="28"/>
          <w:szCs w:val="28"/>
        </w:rPr>
      </w:pPr>
      <w:r>
        <w:rPr>
          <w:szCs w:val="28"/>
        </w:rPr>
        <w:tab/>
      </w:r>
      <w:r w:rsidR="00B72D5C" w:rsidRPr="00B72D5C">
        <w:rPr>
          <w:sz w:val="28"/>
          <w:szCs w:val="28"/>
        </w:rPr>
        <w:t xml:space="preserve">Керуючись чинним законодавством з питань приватизації та оцінки майна, департамент економіки міської ради і надалі буде працювати над реалізацією завдань приватизації, а саме: </w:t>
      </w:r>
    </w:p>
    <w:p w:rsidR="00B72D5C" w:rsidRPr="00B72D5C" w:rsidRDefault="00B72D5C" w:rsidP="00B72D5C">
      <w:pPr>
        <w:pStyle w:val="Default"/>
        <w:jc w:val="both"/>
        <w:rPr>
          <w:sz w:val="28"/>
          <w:szCs w:val="28"/>
        </w:rPr>
      </w:pPr>
      <w:r w:rsidRPr="00B72D5C">
        <w:rPr>
          <w:sz w:val="28"/>
          <w:szCs w:val="28"/>
        </w:rPr>
        <w:t xml:space="preserve">- максимальна відкритість та прозорість всіх процедур приватизації для громади і покупців, в т.ч. </w:t>
      </w:r>
      <w:r w:rsidRPr="00B72D5C">
        <w:rPr>
          <w:bCs/>
          <w:sz w:val="28"/>
          <w:szCs w:val="28"/>
        </w:rPr>
        <w:t xml:space="preserve">із використанням електронної торгової системи ProZorro. Продажі; </w:t>
      </w:r>
    </w:p>
    <w:p w:rsidR="00B72D5C" w:rsidRDefault="00B72D5C" w:rsidP="00B72D5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забезпечення надходження коштів до бюджету розвитку від приватизації комунального майна у обсягах, передбачених міським бюджетом. </w:t>
      </w:r>
    </w:p>
    <w:p w:rsidR="00F2067C" w:rsidRPr="003E2E5B" w:rsidRDefault="00F2067C" w:rsidP="00F2067C">
      <w:pPr>
        <w:pStyle w:val="a5"/>
        <w:tabs>
          <w:tab w:val="left" w:pos="709"/>
          <w:tab w:val="left" w:pos="2410"/>
          <w:tab w:val="left" w:pos="2835"/>
        </w:tabs>
        <w:jc w:val="both"/>
        <w:rPr>
          <w:rStyle w:val="xbe"/>
          <w:szCs w:val="28"/>
        </w:rPr>
      </w:pPr>
      <w:r w:rsidRPr="003E2E5B">
        <w:rPr>
          <w:rStyle w:val="xbe"/>
          <w:szCs w:val="28"/>
        </w:rPr>
        <w:t xml:space="preserve"> </w:t>
      </w:r>
    </w:p>
    <w:p w:rsidR="000013EA" w:rsidRDefault="000013EA" w:rsidP="000013EA">
      <w:pPr>
        <w:pStyle w:val="a5"/>
        <w:jc w:val="both"/>
        <w:rPr>
          <w:szCs w:val="28"/>
        </w:rPr>
      </w:pPr>
    </w:p>
    <w:p w:rsidR="000013EA" w:rsidRDefault="000013EA" w:rsidP="000013EA">
      <w:pPr>
        <w:pStyle w:val="a5"/>
        <w:jc w:val="both"/>
        <w:rPr>
          <w:szCs w:val="28"/>
        </w:rPr>
      </w:pPr>
    </w:p>
    <w:p w:rsidR="000013EA" w:rsidRDefault="000013EA" w:rsidP="000013EA">
      <w:pPr>
        <w:pStyle w:val="a5"/>
        <w:spacing w:after="0"/>
        <w:jc w:val="both"/>
        <w:rPr>
          <w:b/>
          <w:szCs w:val="28"/>
        </w:rPr>
      </w:pPr>
      <w:r w:rsidRPr="000013EA">
        <w:rPr>
          <w:b/>
          <w:szCs w:val="28"/>
        </w:rPr>
        <w:t xml:space="preserve">Директор </w:t>
      </w:r>
      <w:r>
        <w:rPr>
          <w:b/>
          <w:szCs w:val="28"/>
        </w:rPr>
        <w:t>департаменту</w:t>
      </w:r>
    </w:p>
    <w:p w:rsidR="000013EA" w:rsidRPr="000013EA" w:rsidRDefault="000013EA" w:rsidP="000013EA">
      <w:pPr>
        <w:pStyle w:val="a5"/>
        <w:spacing w:after="0"/>
        <w:jc w:val="both"/>
        <w:rPr>
          <w:b/>
          <w:szCs w:val="28"/>
        </w:rPr>
      </w:pPr>
      <w:r>
        <w:rPr>
          <w:b/>
          <w:szCs w:val="28"/>
        </w:rPr>
        <w:t>економіки міської ради                                                                         В.Гавриш</w:t>
      </w:r>
    </w:p>
    <w:p w:rsidR="006B475D" w:rsidRPr="00077E48" w:rsidRDefault="006B475D" w:rsidP="000013EA">
      <w:pPr>
        <w:shd w:val="clear" w:color="auto" w:fill="FFFFFF"/>
        <w:spacing w:after="120"/>
        <w:jc w:val="both"/>
        <w:rPr>
          <w:color w:val="000000"/>
        </w:rPr>
      </w:pPr>
    </w:p>
    <w:p w:rsidR="006B475D" w:rsidRDefault="006B475D" w:rsidP="000013EA">
      <w:pPr>
        <w:pStyle w:val="2"/>
        <w:spacing w:line="240" w:lineRule="auto"/>
        <w:jc w:val="both"/>
        <w:rPr>
          <w:b/>
          <w:i/>
          <w:szCs w:val="28"/>
        </w:rPr>
      </w:pPr>
      <w:r w:rsidRPr="00DF13FE">
        <w:rPr>
          <w:szCs w:val="28"/>
        </w:rPr>
        <w:tab/>
      </w:r>
    </w:p>
    <w:p w:rsidR="00BE3B83" w:rsidRDefault="00BE3B83" w:rsidP="000013EA">
      <w:pPr>
        <w:spacing w:after="120"/>
        <w:jc w:val="both"/>
        <w:rPr>
          <w:sz w:val="27"/>
          <w:szCs w:val="27"/>
        </w:rPr>
      </w:pPr>
    </w:p>
    <w:p w:rsidR="00A42C99" w:rsidRDefault="00A42C99" w:rsidP="000013EA">
      <w:pPr>
        <w:spacing w:after="120"/>
        <w:ind w:firstLine="708"/>
        <w:jc w:val="center"/>
        <w:rPr>
          <w:rFonts w:eastAsia="Arial Unicode MS"/>
          <w:b/>
          <w:sz w:val="28"/>
          <w:szCs w:val="28"/>
        </w:rPr>
      </w:pPr>
    </w:p>
    <w:p w:rsidR="00B6235F" w:rsidRDefault="00B6235F" w:rsidP="000013EA">
      <w:pPr>
        <w:spacing w:after="120"/>
        <w:ind w:firstLine="708"/>
        <w:jc w:val="center"/>
        <w:rPr>
          <w:rFonts w:eastAsia="Arial Unicode MS"/>
          <w:b/>
          <w:sz w:val="28"/>
          <w:szCs w:val="28"/>
        </w:rPr>
      </w:pPr>
    </w:p>
    <w:p w:rsidR="00B6235F" w:rsidRDefault="00B6235F" w:rsidP="000013EA">
      <w:pPr>
        <w:spacing w:after="120"/>
        <w:ind w:firstLine="708"/>
        <w:jc w:val="center"/>
        <w:rPr>
          <w:rFonts w:eastAsia="Arial Unicode MS"/>
          <w:b/>
          <w:sz w:val="28"/>
          <w:szCs w:val="28"/>
        </w:rPr>
      </w:pPr>
    </w:p>
    <w:p w:rsidR="00B6235F" w:rsidRDefault="00B6235F" w:rsidP="000013EA">
      <w:pPr>
        <w:spacing w:after="120"/>
        <w:ind w:firstLine="708"/>
        <w:jc w:val="center"/>
        <w:rPr>
          <w:rFonts w:eastAsia="Arial Unicode MS"/>
          <w:b/>
          <w:sz w:val="28"/>
          <w:szCs w:val="28"/>
        </w:rPr>
      </w:pPr>
    </w:p>
    <w:p w:rsidR="00B6235F" w:rsidRDefault="00B6235F" w:rsidP="000013EA">
      <w:pPr>
        <w:spacing w:after="120"/>
        <w:ind w:firstLine="708"/>
        <w:jc w:val="center"/>
        <w:rPr>
          <w:rFonts w:eastAsia="Arial Unicode MS"/>
          <w:b/>
          <w:sz w:val="28"/>
          <w:szCs w:val="28"/>
        </w:rPr>
      </w:pPr>
    </w:p>
    <w:p w:rsidR="00B6235F" w:rsidRDefault="00B6235F" w:rsidP="000013EA">
      <w:pPr>
        <w:ind w:firstLine="708"/>
        <w:jc w:val="center"/>
        <w:rPr>
          <w:rFonts w:eastAsia="Arial Unicode MS"/>
          <w:b/>
          <w:sz w:val="28"/>
          <w:szCs w:val="28"/>
        </w:rPr>
      </w:pPr>
    </w:p>
    <w:p w:rsidR="00B6235F" w:rsidRDefault="00B6235F" w:rsidP="000013EA">
      <w:pPr>
        <w:ind w:firstLine="708"/>
        <w:jc w:val="center"/>
        <w:rPr>
          <w:rFonts w:eastAsia="Arial Unicode MS"/>
          <w:b/>
          <w:sz w:val="28"/>
          <w:szCs w:val="28"/>
        </w:rPr>
      </w:pPr>
    </w:p>
    <w:p w:rsidR="00B6235F" w:rsidRDefault="00B6235F" w:rsidP="000013EA">
      <w:pPr>
        <w:ind w:firstLine="708"/>
        <w:jc w:val="center"/>
        <w:rPr>
          <w:rFonts w:eastAsia="Arial Unicode MS"/>
          <w:b/>
          <w:sz w:val="28"/>
          <w:szCs w:val="28"/>
        </w:rPr>
      </w:pPr>
    </w:p>
    <w:p w:rsidR="00B6235F" w:rsidRDefault="00B6235F" w:rsidP="000013EA">
      <w:pPr>
        <w:ind w:firstLine="708"/>
        <w:jc w:val="center"/>
        <w:rPr>
          <w:rFonts w:eastAsia="Arial Unicode MS"/>
          <w:b/>
          <w:sz w:val="28"/>
          <w:szCs w:val="28"/>
        </w:rPr>
      </w:pPr>
    </w:p>
    <w:p w:rsidR="00B42766" w:rsidRDefault="00B42766" w:rsidP="000013EA">
      <w:pPr>
        <w:ind w:firstLine="708"/>
        <w:jc w:val="center"/>
        <w:rPr>
          <w:rFonts w:eastAsia="Arial Unicode MS"/>
          <w:b/>
          <w:sz w:val="28"/>
          <w:szCs w:val="28"/>
        </w:rPr>
      </w:pPr>
    </w:p>
    <w:sectPr w:rsidR="00B42766" w:rsidSect="000013EA">
      <w:headerReference w:type="default" r:id="rId7"/>
      <w:pgSz w:w="11906" w:h="16838"/>
      <w:pgMar w:top="851" w:right="567" w:bottom="851" w:left="1701" w:header="1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396" w:rsidRDefault="00472396" w:rsidP="00BB333A">
      <w:r>
        <w:separator/>
      </w:r>
    </w:p>
  </w:endnote>
  <w:endnote w:type="continuationSeparator" w:id="0">
    <w:p w:rsidR="00472396" w:rsidRDefault="00472396" w:rsidP="00BB3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396" w:rsidRDefault="00472396" w:rsidP="00BB333A">
      <w:r>
        <w:separator/>
      </w:r>
    </w:p>
  </w:footnote>
  <w:footnote w:type="continuationSeparator" w:id="0">
    <w:p w:rsidR="00472396" w:rsidRDefault="00472396" w:rsidP="00BB33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8AE" w:rsidRDefault="00FA18AE" w:rsidP="00BB333A">
    <w:pPr>
      <w:pStyle w:val="a8"/>
      <w:jc w:val="center"/>
    </w:pPr>
  </w:p>
  <w:p w:rsidR="00FA18AE" w:rsidRDefault="00FA18AE" w:rsidP="00BB333A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6549"/>
    <w:multiLevelType w:val="singleLevel"/>
    <w:tmpl w:val="82440D06"/>
    <w:lvl w:ilvl="0">
      <w:start w:val="1"/>
      <w:numFmt w:val="bullet"/>
      <w:lvlText w:val="-"/>
      <w:lvlJc w:val="left"/>
      <w:pPr>
        <w:tabs>
          <w:tab w:val="num" w:pos="1637"/>
        </w:tabs>
        <w:ind w:left="1637" w:hanging="360"/>
      </w:pPr>
      <w:rPr>
        <w:rFonts w:hint="default"/>
      </w:rPr>
    </w:lvl>
  </w:abstractNum>
  <w:abstractNum w:abstractNumId="1" w15:restartNumberingAfterBreak="0">
    <w:nsid w:val="3C0D05DA"/>
    <w:multiLevelType w:val="hybridMultilevel"/>
    <w:tmpl w:val="78585F78"/>
    <w:lvl w:ilvl="0" w:tplc="7C2C143A">
      <w:numFmt w:val="bullet"/>
      <w:lvlText w:val=""/>
      <w:lvlJc w:val="left"/>
      <w:pPr>
        <w:ind w:left="40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" w15:restartNumberingAfterBreak="0">
    <w:nsid w:val="4B6E0BA7"/>
    <w:multiLevelType w:val="hybridMultilevel"/>
    <w:tmpl w:val="3888352E"/>
    <w:lvl w:ilvl="0" w:tplc="14B4BD2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F0214AA"/>
    <w:multiLevelType w:val="hybridMultilevel"/>
    <w:tmpl w:val="2CC27204"/>
    <w:lvl w:ilvl="0" w:tplc="17DEEF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4E29EC"/>
    <w:multiLevelType w:val="hybridMultilevel"/>
    <w:tmpl w:val="FEE66AB8"/>
    <w:lvl w:ilvl="0" w:tplc="0D4C8976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EAB"/>
    <w:rsid w:val="000013EA"/>
    <w:rsid w:val="0000528F"/>
    <w:rsid w:val="00013D34"/>
    <w:rsid w:val="000232A5"/>
    <w:rsid w:val="0003489C"/>
    <w:rsid w:val="00037D8A"/>
    <w:rsid w:val="00040559"/>
    <w:rsid w:val="000407F4"/>
    <w:rsid w:val="00074AF4"/>
    <w:rsid w:val="00077E48"/>
    <w:rsid w:val="00082227"/>
    <w:rsid w:val="00087A7D"/>
    <w:rsid w:val="000B1EE6"/>
    <w:rsid w:val="000C3E24"/>
    <w:rsid w:val="000C4EDB"/>
    <w:rsid w:val="000F530D"/>
    <w:rsid w:val="000F753E"/>
    <w:rsid w:val="00103323"/>
    <w:rsid w:val="00146470"/>
    <w:rsid w:val="00163E64"/>
    <w:rsid w:val="00170B97"/>
    <w:rsid w:val="001725FD"/>
    <w:rsid w:val="0017380B"/>
    <w:rsid w:val="001816D9"/>
    <w:rsid w:val="00183B40"/>
    <w:rsid w:val="00195191"/>
    <w:rsid w:val="001A0EAB"/>
    <w:rsid w:val="001C211E"/>
    <w:rsid w:val="001E5AA6"/>
    <w:rsid w:val="002032AD"/>
    <w:rsid w:val="00212BBD"/>
    <w:rsid w:val="00255702"/>
    <w:rsid w:val="00257A30"/>
    <w:rsid w:val="002628B8"/>
    <w:rsid w:val="00275568"/>
    <w:rsid w:val="002A0F2D"/>
    <w:rsid w:val="002C30A8"/>
    <w:rsid w:val="002C761C"/>
    <w:rsid w:val="002D1F7A"/>
    <w:rsid w:val="002E3285"/>
    <w:rsid w:val="002F77F5"/>
    <w:rsid w:val="00303898"/>
    <w:rsid w:val="00320E32"/>
    <w:rsid w:val="00322E27"/>
    <w:rsid w:val="00336EE2"/>
    <w:rsid w:val="003441A7"/>
    <w:rsid w:val="00351F06"/>
    <w:rsid w:val="0035623B"/>
    <w:rsid w:val="003624CC"/>
    <w:rsid w:val="00362BE3"/>
    <w:rsid w:val="0036500A"/>
    <w:rsid w:val="00366F9C"/>
    <w:rsid w:val="003A579E"/>
    <w:rsid w:val="003A755B"/>
    <w:rsid w:val="003B4E38"/>
    <w:rsid w:val="003D245F"/>
    <w:rsid w:val="003D5482"/>
    <w:rsid w:val="003E27FD"/>
    <w:rsid w:val="003E2E5B"/>
    <w:rsid w:val="0040356F"/>
    <w:rsid w:val="0045533C"/>
    <w:rsid w:val="00472396"/>
    <w:rsid w:val="004911A8"/>
    <w:rsid w:val="004A07B1"/>
    <w:rsid w:val="004A4B63"/>
    <w:rsid w:val="004B0417"/>
    <w:rsid w:val="004B3965"/>
    <w:rsid w:val="00512C4D"/>
    <w:rsid w:val="005131B5"/>
    <w:rsid w:val="00524D95"/>
    <w:rsid w:val="00526746"/>
    <w:rsid w:val="005269DC"/>
    <w:rsid w:val="005354E3"/>
    <w:rsid w:val="005442AE"/>
    <w:rsid w:val="0055388B"/>
    <w:rsid w:val="00584D00"/>
    <w:rsid w:val="00597BBC"/>
    <w:rsid w:val="005B26B7"/>
    <w:rsid w:val="005B473D"/>
    <w:rsid w:val="005C3C8A"/>
    <w:rsid w:val="005C4B20"/>
    <w:rsid w:val="005D44F0"/>
    <w:rsid w:val="005E546A"/>
    <w:rsid w:val="0061444E"/>
    <w:rsid w:val="0061690B"/>
    <w:rsid w:val="006265EE"/>
    <w:rsid w:val="00643E7B"/>
    <w:rsid w:val="00646814"/>
    <w:rsid w:val="00653C47"/>
    <w:rsid w:val="006663A3"/>
    <w:rsid w:val="006665C3"/>
    <w:rsid w:val="00682FBB"/>
    <w:rsid w:val="006B05AE"/>
    <w:rsid w:val="006B475D"/>
    <w:rsid w:val="006D12A9"/>
    <w:rsid w:val="006D1F52"/>
    <w:rsid w:val="006D4094"/>
    <w:rsid w:val="006D5DC2"/>
    <w:rsid w:val="006F1971"/>
    <w:rsid w:val="006F37DE"/>
    <w:rsid w:val="006F7D55"/>
    <w:rsid w:val="00700B6B"/>
    <w:rsid w:val="007038F4"/>
    <w:rsid w:val="0071104F"/>
    <w:rsid w:val="007119B1"/>
    <w:rsid w:val="00717D9B"/>
    <w:rsid w:val="00722CE6"/>
    <w:rsid w:val="00731060"/>
    <w:rsid w:val="007379DB"/>
    <w:rsid w:val="00740F38"/>
    <w:rsid w:val="00745EA6"/>
    <w:rsid w:val="00746882"/>
    <w:rsid w:val="00753C29"/>
    <w:rsid w:val="00753FC5"/>
    <w:rsid w:val="00761CDC"/>
    <w:rsid w:val="0077546D"/>
    <w:rsid w:val="00781A9E"/>
    <w:rsid w:val="00787D2E"/>
    <w:rsid w:val="007978EC"/>
    <w:rsid w:val="007979D1"/>
    <w:rsid w:val="007A184D"/>
    <w:rsid w:val="007B3CF1"/>
    <w:rsid w:val="007B6CB5"/>
    <w:rsid w:val="007D624B"/>
    <w:rsid w:val="007F13D2"/>
    <w:rsid w:val="007F241F"/>
    <w:rsid w:val="00801C76"/>
    <w:rsid w:val="00803DF5"/>
    <w:rsid w:val="00843C2A"/>
    <w:rsid w:val="00857D41"/>
    <w:rsid w:val="00870CD0"/>
    <w:rsid w:val="0087253A"/>
    <w:rsid w:val="00872AB2"/>
    <w:rsid w:val="00882A3E"/>
    <w:rsid w:val="00886AC6"/>
    <w:rsid w:val="00897BB8"/>
    <w:rsid w:val="008A47BF"/>
    <w:rsid w:val="008B0D3D"/>
    <w:rsid w:val="008C4D8E"/>
    <w:rsid w:val="009107C6"/>
    <w:rsid w:val="0091185F"/>
    <w:rsid w:val="009366DC"/>
    <w:rsid w:val="009650E5"/>
    <w:rsid w:val="00967148"/>
    <w:rsid w:val="00971D88"/>
    <w:rsid w:val="009727D6"/>
    <w:rsid w:val="00985C33"/>
    <w:rsid w:val="00985FC2"/>
    <w:rsid w:val="009915F1"/>
    <w:rsid w:val="009A0E06"/>
    <w:rsid w:val="009A39F8"/>
    <w:rsid w:val="009C1161"/>
    <w:rsid w:val="009C51DF"/>
    <w:rsid w:val="009C7980"/>
    <w:rsid w:val="009D46CE"/>
    <w:rsid w:val="009E5027"/>
    <w:rsid w:val="00A006B3"/>
    <w:rsid w:val="00A1026D"/>
    <w:rsid w:val="00A168B2"/>
    <w:rsid w:val="00A41C44"/>
    <w:rsid w:val="00A42C99"/>
    <w:rsid w:val="00A65264"/>
    <w:rsid w:val="00A66DAF"/>
    <w:rsid w:val="00A67551"/>
    <w:rsid w:val="00A91B43"/>
    <w:rsid w:val="00A937CD"/>
    <w:rsid w:val="00A94105"/>
    <w:rsid w:val="00AA4328"/>
    <w:rsid w:val="00AD32C6"/>
    <w:rsid w:val="00AD3A5E"/>
    <w:rsid w:val="00AE034C"/>
    <w:rsid w:val="00AF2521"/>
    <w:rsid w:val="00AF2853"/>
    <w:rsid w:val="00B02686"/>
    <w:rsid w:val="00B27562"/>
    <w:rsid w:val="00B42766"/>
    <w:rsid w:val="00B453B1"/>
    <w:rsid w:val="00B500FB"/>
    <w:rsid w:val="00B6235F"/>
    <w:rsid w:val="00B72D5C"/>
    <w:rsid w:val="00B805FA"/>
    <w:rsid w:val="00B96C01"/>
    <w:rsid w:val="00BA0D4E"/>
    <w:rsid w:val="00BA2F9A"/>
    <w:rsid w:val="00BB1C62"/>
    <w:rsid w:val="00BB333A"/>
    <w:rsid w:val="00BC16CE"/>
    <w:rsid w:val="00BC46AF"/>
    <w:rsid w:val="00BE3B83"/>
    <w:rsid w:val="00C0263D"/>
    <w:rsid w:val="00C20A7F"/>
    <w:rsid w:val="00C20D59"/>
    <w:rsid w:val="00C31CC7"/>
    <w:rsid w:val="00C33C6C"/>
    <w:rsid w:val="00C34F8A"/>
    <w:rsid w:val="00C36F78"/>
    <w:rsid w:val="00C406D2"/>
    <w:rsid w:val="00C41157"/>
    <w:rsid w:val="00C55296"/>
    <w:rsid w:val="00C74C88"/>
    <w:rsid w:val="00C86ECD"/>
    <w:rsid w:val="00C94347"/>
    <w:rsid w:val="00CB3DF2"/>
    <w:rsid w:val="00CC728D"/>
    <w:rsid w:val="00CD5B89"/>
    <w:rsid w:val="00CD7B66"/>
    <w:rsid w:val="00CE1428"/>
    <w:rsid w:val="00CF0B9F"/>
    <w:rsid w:val="00CF7989"/>
    <w:rsid w:val="00D1060A"/>
    <w:rsid w:val="00D15FC6"/>
    <w:rsid w:val="00D21BA4"/>
    <w:rsid w:val="00D25212"/>
    <w:rsid w:val="00D40905"/>
    <w:rsid w:val="00D542BD"/>
    <w:rsid w:val="00D54FF7"/>
    <w:rsid w:val="00D65E2F"/>
    <w:rsid w:val="00D679D6"/>
    <w:rsid w:val="00D719DB"/>
    <w:rsid w:val="00D71CE4"/>
    <w:rsid w:val="00DA144E"/>
    <w:rsid w:val="00DB5268"/>
    <w:rsid w:val="00DC24EA"/>
    <w:rsid w:val="00DC3013"/>
    <w:rsid w:val="00DD2316"/>
    <w:rsid w:val="00DD72E7"/>
    <w:rsid w:val="00DE4FF9"/>
    <w:rsid w:val="00DF7F85"/>
    <w:rsid w:val="00E0598D"/>
    <w:rsid w:val="00E07486"/>
    <w:rsid w:val="00E125EF"/>
    <w:rsid w:val="00E1477F"/>
    <w:rsid w:val="00E212D2"/>
    <w:rsid w:val="00E24030"/>
    <w:rsid w:val="00E530E1"/>
    <w:rsid w:val="00E74967"/>
    <w:rsid w:val="00E7797C"/>
    <w:rsid w:val="00E87744"/>
    <w:rsid w:val="00EA026A"/>
    <w:rsid w:val="00EA299B"/>
    <w:rsid w:val="00EC0471"/>
    <w:rsid w:val="00EC1386"/>
    <w:rsid w:val="00EC6E29"/>
    <w:rsid w:val="00ED546D"/>
    <w:rsid w:val="00F003E0"/>
    <w:rsid w:val="00F2067C"/>
    <w:rsid w:val="00F30507"/>
    <w:rsid w:val="00F62304"/>
    <w:rsid w:val="00F726C0"/>
    <w:rsid w:val="00F7309E"/>
    <w:rsid w:val="00FA18AE"/>
    <w:rsid w:val="00FB3C69"/>
    <w:rsid w:val="00FC2C8F"/>
    <w:rsid w:val="00FC30B1"/>
    <w:rsid w:val="00FE2AC7"/>
    <w:rsid w:val="00FE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8B4680-D408-4303-A010-327F9F3A4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A168B2"/>
    <w:pPr>
      <w:keepNext/>
      <w:jc w:val="both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6B05A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DA144E"/>
    <w:pPr>
      <w:ind w:left="-142" w:firstLine="862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link w:val="a3"/>
    <w:rsid w:val="00DA144E"/>
    <w:rPr>
      <w:sz w:val="28"/>
      <w:lang w:eastAsia="ru-RU"/>
    </w:rPr>
  </w:style>
  <w:style w:type="paragraph" w:styleId="a5">
    <w:name w:val="Body Text"/>
    <w:basedOn w:val="a"/>
    <w:link w:val="a6"/>
    <w:rsid w:val="00AE034C"/>
    <w:pPr>
      <w:spacing w:after="120"/>
    </w:pPr>
    <w:rPr>
      <w:sz w:val="28"/>
    </w:rPr>
  </w:style>
  <w:style w:type="character" w:customStyle="1" w:styleId="a6">
    <w:name w:val="Основной текст Знак"/>
    <w:link w:val="a5"/>
    <w:rsid w:val="00AE034C"/>
    <w:rPr>
      <w:sz w:val="28"/>
      <w:szCs w:val="24"/>
      <w:lang w:eastAsia="ru-RU"/>
    </w:rPr>
  </w:style>
  <w:style w:type="paragraph" w:styleId="31">
    <w:name w:val="Body Text Indent 3"/>
    <w:basedOn w:val="a"/>
    <w:link w:val="32"/>
    <w:rsid w:val="009915F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9915F1"/>
    <w:rPr>
      <w:sz w:val="16"/>
      <w:szCs w:val="16"/>
      <w:lang w:eastAsia="ru-RU"/>
    </w:rPr>
  </w:style>
  <w:style w:type="paragraph" w:customStyle="1" w:styleId="newsp">
    <w:name w:val="news_p"/>
    <w:basedOn w:val="a"/>
    <w:rsid w:val="00040559"/>
    <w:pPr>
      <w:spacing w:before="100" w:beforeAutospacing="1" w:after="100" w:afterAutospacing="1"/>
    </w:pPr>
    <w:rPr>
      <w:lang w:val="ru-RU"/>
    </w:rPr>
  </w:style>
  <w:style w:type="character" w:customStyle="1" w:styleId="10">
    <w:name w:val="Заголовок 1 Знак"/>
    <w:link w:val="1"/>
    <w:rsid w:val="00A168B2"/>
    <w:rPr>
      <w:sz w:val="28"/>
      <w:lang w:eastAsia="ru-RU"/>
    </w:rPr>
  </w:style>
  <w:style w:type="paragraph" w:customStyle="1" w:styleId="Normal">
    <w:name w:val="Normal"/>
    <w:rsid w:val="00A168B2"/>
    <w:pPr>
      <w:widowControl w:val="0"/>
    </w:pPr>
    <w:rPr>
      <w:snapToGrid w:val="0"/>
    </w:rPr>
  </w:style>
  <w:style w:type="character" w:styleId="a7">
    <w:name w:val="Hyperlink"/>
    <w:rsid w:val="00A168B2"/>
    <w:rPr>
      <w:color w:val="0000FF"/>
      <w:u w:val="single"/>
    </w:rPr>
  </w:style>
  <w:style w:type="paragraph" w:customStyle="1" w:styleId="11">
    <w:name w:val="заголовок 1"/>
    <w:basedOn w:val="a"/>
    <w:next w:val="a"/>
    <w:rsid w:val="00A168B2"/>
    <w:pPr>
      <w:keepNext/>
      <w:jc w:val="center"/>
    </w:pPr>
    <w:rPr>
      <w:b/>
      <w:sz w:val="32"/>
      <w:szCs w:val="20"/>
    </w:rPr>
  </w:style>
  <w:style w:type="paragraph" w:styleId="a8">
    <w:name w:val="header"/>
    <w:basedOn w:val="a"/>
    <w:link w:val="a9"/>
    <w:uiPriority w:val="99"/>
    <w:rsid w:val="00BB333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BB333A"/>
    <w:rPr>
      <w:sz w:val="24"/>
      <w:szCs w:val="24"/>
      <w:lang w:eastAsia="ru-RU"/>
    </w:rPr>
  </w:style>
  <w:style w:type="paragraph" w:styleId="aa">
    <w:name w:val="footer"/>
    <w:basedOn w:val="a"/>
    <w:link w:val="ab"/>
    <w:rsid w:val="00BB333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BB333A"/>
    <w:rPr>
      <w:sz w:val="24"/>
      <w:szCs w:val="24"/>
      <w:lang w:eastAsia="ru-RU"/>
    </w:rPr>
  </w:style>
  <w:style w:type="paragraph" w:styleId="2">
    <w:name w:val="Body Text Indent 2"/>
    <w:basedOn w:val="a"/>
    <w:link w:val="20"/>
    <w:rsid w:val="00077E4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077E48"/>
    <w:rPr>
      <w:sz w:val="24"/>
      <w:szCs w:val="24"/>
      <w:lang w:eastAsia="ru-RU"/>
    </w:rPr>
  </w:style>
  <w:style w:type="character" w:customStyle="1" w:styleId="xbe">
    <w:name w:val="_xbe"/>
    <w:basedOn w:val="a0"/>
    <w:rsid w:val="003E2E5B"/>
  </w:style>
  <w:style w:type="paragraph" w:customStyle="1" w:styleId="Style37">
    <w:name w:val="Style37"/>
    <w:basedOn w:val="a"/>
    <w:rsid w:val="0061444E"/>
    <w:pPr>
      <w:widowControl w:val="0"/>
      <w:autoSpaceDE w:val="0"/>
      <w:autoSpaceDN w:val="0"/>
      <w:adjustRightInd w:val="0"/>
      <w:spacing w:line="312" w:lineRule="exact"/>
      <w:ind w:firstLine="581"/>
      <w:jc w:val="both"/>
    </w:pPr>
    <w:rPr>
      <w:lang w:val="ru-RU"/>
    </w:rPr>
  </w:style>
  <w:style w:type="character" w:customStyle="1" w:styleId="FontStyle64">
    <w:name w:val="Font Style64"/>
    <w:rsid w:val="0061444E"/>
    <w:rPr>
      <w:rFonts w:ascii="Times New Roman" w:hAnsi="Times New Roman" w:cs="Times New Roman" w:hint="default"/>
      <w:sz w:val="26"/>
      <w:szCs w:val="26"/>
    </w:rPr>
  </w:style>
  <w:style w:type="paragraph" w:customStyle="1" w:styleId="Default">
    <w:name w:val="Default"/>
    <w:rsid w:val="009107C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table" w:styleId="ac">
    <w:name w:val="Table Grid"/>
    <w:basedOn w:val="a1"/>
    <w:rsid w:val="00A91B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9"/>
    <w:semiHidden/>
    <w:rsid w:val="006B05AE"/>
    <w:rPr>
      <w:rFonts w:ascii="Cambria" w:eastAsia="Times New Roman" w:hAnsi="Cambria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6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845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ІНФОРМАЦІЯ</vt:lpstr>
    </vt:vector>
  </TitlesOfParts>
  <Company/>
  <LinksUpToDate>false</LinksUpToDate>
  <CharactersWithSpaces>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ІНФОРМАЦІЯ</dc:title>
  <dc:subject/>
  <dc:creator>Vyacheslav</dc:creator>
  <cp:keywords/>
  <cp:lastModifiedBy>kompvid2</cp:lastModifiedBy>
  <cp:revision>2</cp:revision>
  <cp:lastPrinted>2018-11-16T11:51:00Z</cp:lastPrinted>
  <dcterms:created xsi:type="dcterms:W3CDTF">2019-01-21T12:44:00Z</dcterms:created>
  <dcterms:modified xsi:type="dcterms:W3CDTF">2019-01-21T12:44:00Z</dcterms:modified>
</cp:coreProperties>
</file>