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3498" w:rsidRPr="00E5557F" w:rsidRDefault="00973498" w:rsidP="00973498">
      <w:pPr>
        <w:spacing w:line="20" w:lineRule="atLeast"/>
        <w:jc w:val="center"/>
        <w:rPr>
          <w:b/>
          <w:bCs/>
          <w:sz w:val="27"/>
          <w:szCs w:val="27"/>
          <w:lang w:val="uk-UA"/>
        </w:rPr>
      </w:pPr>
      <w:bookmarkStart w:id="0" w:name="_GoBack"/>
      <w:bookmarkEnd w:id="0"/>
      <w:r w:rsidRPr="00E5557F">
        <w:rPr>
          <w:b/>
          <w:bCs/>
          <w:sz w:val="27"/>
          <w:szCs w:val="27"/>
          <w:lang w:val="uk-UA"/>
        </w:rPr>
        <w:t xml:space="preserve">Інформація </w:t>
      </w:r>
    </w:p>
    <w:p w:rsidR="00973498" w:rsidRPr="00E5557F" w:rsidRDefault="00973498" w:rsidP="00973498">
      <w:pPr>
        <w:spacing w:line="20" w:lineRule="atLeast"/>
        <w:jc w:val="center"/>
        <w:rPr>
          <w:b/>
          <w:bCs/>
          <w:sz w:val="27"/>
          <w:szCs w:val="27"/>
          <w:lang w:val="uk-UA"/>
        </w:rPr>
      </w:pPr>
    </w:p>
    <w:p w:rsidR="00973498" w:rsidRPr="00E5557F" w:rsidRDefault="00973498" w:rsidP="00973498">
      <w:pPr>
        <w:spacing w:line="20" w:lineRule="atLeast"/>
        <w:jc w:val="center"/>
        <w:rPr>
          <w:b/>
          <w:sz w:val="27"/>
          <w:szCs w:val="27"/>
          <w:lang w:val="uk-UA"/>
        </w:rPr>
      </w:pPr>
      <w:r w:rsidRPr="00E5557F">
        <w:rPr>
          <w:b/>
          <w:sz w:val="27"/>
          <w:szCs w:val="27"/>
          <w:lang w:val="uk-UA"/>
        </w:rPr>
        <w:t>про хід виконання заходів «Комплексної програми покращення умов обслуговування платників податків в місті Чернівцях та збільшення надходжень до Державного та місцевого бюджетів на 2016-2018 роки»</w:t>
      </w:r>
    </w:p>
    <w:p w:rsidR="00973498" w:rsidRPr="00354991" w:rsidRDefault="00973498" w:rsidP="00973498">
      <w:pPr>
        <w:spacing w:line="20" w:lineRule="atLeast"/>
        <w:ind w:firstLine="851"/>
        <w:jc w:val="center"/>
        <w:rPr>
          <w:sz w:val="27"/>
          <w:szCs w:val="27"/>
          <w:lang w:val="uk-UA"/>
        </w:rPr>
      </w:pPr>
    </w:p>
    <w:p w:rsidR="00973498" w:rsidRPr="007B5D8E" w:rsidRDefault="00973498" w:rsidP="00973498">
      <w:pPr>
        <w:spacing w:line="20" w:lineRule="atLeast"/>
        <w:ind w:firstLine="709"/>
        <w:jc w:val="both"/>
        <w:rPr>
          <w:sz w:val="27"/>
          <w:szCs w:val="27"/>
          <w:lang w:val="uk-UA"/>
        </w:rPr>
      </w:pPr>
      <w:r w:rsidRPr="007B5D8E">
        <w:rPr>
          <w:sz w:val="27"/>
          <w:szCs w:val="27"/>
          <w:lang w:val="uk-UA"/>
        </w:rPr>
        <w:t xml:space="preserve">«Комплексна програма покращення умов обслуговування платників податків в місті Чернівцях та збільшення надходжень до Державного та місцевого бюджетів на 2016-2018 роки» </w:t>
      </w:r>
      <w:r w:rsidRPr="00354991">
        <w:rPr>
          <w:sz w:val="27"/>
          <w:szCs w:val="27"/>
          <w:lang w:val="uk-UA"/>
        </w:rPr>
        <w:t>(далі – Програма)</w:t>
      </w:r>
      <w:r>
        <w:rPr>
          <w:sz w:val="27"/>
          <w:szCs w:val="27"/>
          <w:lang w:val="uk-UA"/>
        </w:rPr>
        <w:t>, затверджена р</w:t>
      </w:r>
      <w:r w:rsidRPr="007B5D8E">
        <w:rPr>
          <w:sz w:val="27"/>
          <w:szCs w:val="27"/>
          <w:lang w:val="uk-UA"/>
        </w:rPr>
        <w:t xml:space="preserve">ішенням Чернівецької </w:t>
      </w:r>
      <w:r>
        <w:rPr>
          <w:sz w:val="27"/>
          <w:szCs w:val="27"/>
          <w:lang w:val="uk-UA"/>
        </w:rPr>
        <w:t xml:space="preserve">міської ради </w:t>
      </w:r>
      <w:r w:rsidRPr="007B5D8E">
        <w:rPr>
          <w:sz w:val="27"/>
          <w:szCs w:val="27"/>
          <w:lang w:val="uk-UA"/>
        </w:rPr>
        <w:t xml:space="preserve"> VII скликання від 28.07.2016р. №330</w:t>
      </w:r>
      <w:r w:rsidRPr="00354991">
        <w:rPr>
          <w:sz w:val="27"/>
          <w:szCs w:val="27"/>
          <w:lang w:val="uk-UA"/>
        </w:rPr>
        <w:t xml:space="preserve"> з метою формування сприятливих умов для покращення обслуговування платників податків та </w:t>
      </w:r>
      <w:r w:rsidRPr="007B5D8E">
        <w:rPr>
          <w:sz w:val="27"/>
          <w:szCs w:val="27"/>
          <w:lang w:val="uk-UA"/>
        </w:rPr>
        <w:t>збільшення надходжень до Державного та місцевих бюджетів на 2016 - 2018 роки ініційована та розроблена Чернівецькою ОДПІ  Головного управління ДФС в Чернівецькій  області.</w:t>
      </w:r>
    </w:p>
    <w:p w:rsidR="00973498" w:rsidRDefault="00973498" w:rsidP="00973498">
      <w:pPr>
        <w:spacing w:line="20" w:lineRule="atLeast"/>
        <w:ind w:firstLine="709"/>
        <w:jc w:val="both"/>
        <w:rPr>
          <w:sz w:val="27"/>
          <w:szCs w:val="27"/>
          <w:lang w:val="uk-UA"/>
        </w:rPr>
      </w:pPr>
      <w:r w:rsidRPr="00354991">
        <w:rPr>
          <w:sz w:val="27"/>
          <w:szCs w:val="27"/>
          <w:lang w:val="uk-UA"/>
        </w:rPr>
        <w:t xml:space="preserve">Загальний </w:t>
      </w:r>
      <w:r>
        <w:rPr>
          <w:sz w:val="27"/>
          <w:szCs w:val="27"/>
          <w:lang w:val="uk-UA"/>
        </w:rPr>
        <w:t xml:space="preserve">  </w:t>
      </w:r>
      <w:r w:rsidRPr="00354991">
        <w:rPr>
          <w:sz w:val="27"/>
          <w:szCs w:val="27"/>
          <w:lang w:val="uk-UA"/>
        </w:rPr>
        <w:t>обсяг</w:t>
      </w:r>
      <w:r>
        <w:rPr>
          <w:sz w:val="27"/>
          <w:szCs w:val="27"/>
          <w:lang w:val="uk-UA"/>
        </w:rPr>
        <w:t xml:space="preserve">  </w:t>
      </w:r>
      <w:r w:rsidRPr="00354991">
        <w:rPr>
          <w:sz w:val="27"/>
          <w:szCs w:val="27"/>
          <w:lang w:val="uk-UA"/>
        </w:rPr>
        <w:t xml:space="preserve"> фінансування </w:t>
      </w:r>
      <w:r>
        <w:rPr>
          <w:sz w:val="27"/>
          <w:szCs w:val="27"/>
          <w:lang w:val="uk-UA"/>
        </w:rPr>
        <w:t xml:space="preserve">  </w:t>
      </w:r>
      <w:r w:rsidRPr="00354991">
        <w:rPr>
          <w:sz w:val="27"/>
          <w:szCs w:val="27"/>
          <w:lang w:val="uk-UA"/>
        </w:rPr>
        <w:t xml:space="preserve">Програми </w:t>
      </w:r>
      <w:r>
        <w:rPr>
          <w:sz w:val="27"/>
          <w:szCs w:val="27"/>
          <w:lang w:val="uk-UA"/>
        </w:rPr>
        <w:t xml:space="preserve">  </w:t>
      </w:r>
      <w:r w:rsidRPr="00354991">
        <w:rPr>
          <w:sz w:val="27"/>
          <w:szCs w:val="27"/>
          <w:lang w:val="uk-UA"/>
        </w:rPr>
        <w:t xml:space="preserve">на </w:t>
      </w:r>
      <w:r w:rsidRPr="007B5D8E">
        <w:rPr>
          <w:sz w:val="27"/>
          <w:szCs w:val="27"/>
          <w:lang w:val="uk-UA"/>
        </w:rPr>
        <w:t>2016-20</w:t>
      </w:r>
      <w:r>
        <w:rPr>
          <w:sz w:val="27"/>
          <w:szCs w:val="27"/>
          <w:lang w:val="uk-UA"/>
        </w:rPr>
        <w:t xml:space="preserve">18    </w:t>
      </w:r>
      <w:r w:rsidRPr="007B5D8E">
        <w:rPr>
          <w:sz w:val="27"/>
          <w:szCs w:val="27"/>
          <w:lang w:val="uk-UA"/>
        </w:rPr>
        <w:t xml:space="preserve"> роки становить </w:t>
      </w:r>
      <w:r>
        <w:rPr>
          <w:sz w:val="27"/>
          <w:szCs w:val="27"/>
          <w:lang w:val="uk-UA"/>
        </w:rPr>
        <w:t>514 т</w:t>
      </w:r>
      <w:r w:rsidRPr="007B5D8E">
        <w:rPr>
          <w:sz w:val="27"/>
          <w:szCs w:val="27"/>
          <w:lang w:val="uk-UA"/>
        </w:rPr>
        <w:t xml:space="preserve">ис. грн. </w:t>
      </w:r>
    </w:p>
    <w:p w:rsidR="00973498" w:rsidRDefault="00973498" w:rsidP="00973498">
      <w:pPr>
        <w:pStyle w:val="ListParagraph"/>
        <w:widowControl w:val="0"/>
        <w:spacing w:after="0" w:line="20" w:lineRule="atLeast"/>
        <w:ind w:left="1211"/>
        <w:rPr>
          <w:rFonts w:ascii="Times New Roman" w:hAnsi="Times New Roman" w:cs="Times New Roman"/>
          <w:b/>
          <w:sz w:val="27"/>
          <w:szCs w:val="27"/>
          <w:lang w:val="uk-UA"/>
        </w:rPr>
      </w:pPr>
    </w:p>
    <w:p w:rsidR="00973498" w:rsidRPr="00354991" w:rsidRDefault="00973498" w:rsidP="00973498">
      <w:pPr>
        <w:pStyle w:val="ListParagraph"/>
        <w:widowControl w:val="0"/>
        <w:numPr>
          <w:ilvl w:val="0"/>
          <w:numId w:val="3"/>
        </w:numPr>
        <w:spacing w:after="0" w:line="20" w:lineRule="atLeast"/>
        <w:rPr>
          <w:rFonts w:ascii="Times New Roman" w:hAnsi="Times New Roman" w:cs="Times New Roman"/>
          <w:b/>
          <w:sz w:val="27"/>
          <w:szCs w:val="27"/>
          <w:lang w:val="uk-UA"/>
        </w:rPr>
      </w:pPr>
      <w:r>
        <w:rPr>
          <w:rFonts w:ascii="Times New Roman" w:hAnsi="Times New Roman" w:cs="Times New Roman"/>
          <w:b/>
          <w:sz w:val="27"/>
          <w:szCs w:val="27"/>
          <w:lang w:val="uk-UA"/>
        </w:rPr>
        <w:t xml:space="preserve"> </w:t>
      </w:r>
      <w:r w:rsidRPr="00354991">
        <w:rPr>
          <w:rFonts w:ascii="Times New Roman" w:hAnsi="Times New Roman" w:cs="Times New Roman"/>
          <w:b/>
          <w:sz w:val="27"/>
          <w:szCs w:val="27"/>
          <w:lang w:val="uk-UA"/>
        </w:rPr>
        <w:t>Фінансування заходів за визначеними Програмою напрямками</w:t>
      </w:r>
    </w:p>
    <w:p w:rsidR="00973498" w:rsidRPr="00354991" w:rsidRDefault="00973498" w:rsidP="00973498">
      <w:pPr>
        <w:spacing w:line="20" w:lineRule="atLeast"/>
        <w:ind w:firstLine="709"/>
        <w:jc w:val="both"/>
        <w:rPr>
          <w:bCs/>
          <w:sz w:val="27"/>
          <w:szCs w:val="27"/>
          <w:lang w:val="uk-UA"/>
        </w:rPr>
      </w:pPr>
    </w:p>
    <w:p w:rsidR="00973498" w:rsidRDefault="00973498" w:rsidP="00973498">
      <w:pPr>
        <w:spacing w:line="20" w:lineRule="atLeast"/>
        <w:ind w:firstLine="709"/>
        <w:jc w:val="both"/>
        <w:rPr>
          <w:sz w:val="27"/>
          <w:szCs w:val="27"/>
          <w:lang w:val="uk-UA"/>
        </w:rPr>
      </w:pPr>
      <w:r w:rsidRPr="0049714B">
        <w:rPr>
          <w:sz w:val="27"/>
          <w:szCs w:val="27"/>
          <w:lang w:val="uk-UA"/>
        </w:rPr>
        <w:t>У 2016 році на реалізацію заходів Програми передбачений обсяг фінансування з міського бюджету склав 238 тис. грн. Слід зазначити, що із запропоновани</w:t>
      </w:r>
      <w:r>
        <w:rPr>
          <w:sz w:val="27"/>
          <w:szCs w:val="27"/>
          <w:lang w:val="uk-UA"/>
        </w:rPr>
        <w:t xml:space="preserve">х до залучення у 2016 році 238 </w:t>
      </w:r>
      <w:r w:rsidRPr="0049714B">
        <w:rPr>
          <w:sz w:val="27"/>
          <w:szCs w:val="27"/>
          <w:lang w:val="uk-UA"/>
        </w:rPr>
        <w:t>тис.гр</w:t>
      </w:r>
      <w:r>
        <w:rPr>
          <w:sz w:val="27"/>
          <w:szCs w:val="27"/>
          <w:lang w:val="uk-UA"/>
        </w:rPr>
        <w:t xml:space="preserve">н. згідно рішення Чернівецької міської ради </w:t>
      </w:r>
      <w:r w:rsidRPr="0049714B">
        <w:rPr>
          <w:sz w:val="27"/>
          <w:szCs w:val="27"/>
          <w:lang w:val="uk-UA"/>
        </w:rPr>
        <w:t xml:space="preserve"> VII скликання від 28.10.2016р. №435 Чернівецька ОДПІ у листопаді 2016 року отримала по вказаній Програмі  фінансування в сумі 107,99</w:t>
      </w:r>
      <w:r>
        <w:rPr>
          <w:sz w:val="27"/>
          <w:szCs w:val="27"/>
          <w:lang w:val="uk-UA"/>
        </w:rPr>
        <w:t xml:space="preserve"> </w:t>
      </w:r>
      <w:r w:rsidRPr="0049714B">
        <w:rPr>
          <w:sz w:val="27"/>
          <w:szCs w:val="27"/>
          <w:lang w:val="uk-UA"/>
        </w:rPr>
        <w:t>тис.грн. Зазначені кошти були повністю освоєні у 2016 році для оновлення матеріально-технічної бази</w:t>
      </w:r>
      <w:r>
        <w:rPr>
          <w:sz w:val="27"/>
          <w:szCs w:val="27"/>
          <w:lang w:val="uk-UA"/>
        </w:rPr>
        <w:t xml:space="preserve"> Чернівецької ОДПІ</w:t>
      </w:r>
      <w:r w:rsidRPr="0049714B">
        <w:rPr>
          <w:sz w:val="27"/>
          <w:szCs w:val="27"/>
          <w:lang w:val="uk-UA"/>
        </w:rPr>
        <w:t>, а саме</w:t>
      </w:r>
      <w:r>
        <w:rPr>
          <w:sz w:val="27"/>
          <w:szCs w:val="27"/>
          <w:lang w:val="uk-UA"/>
        </w:rPr>
        <w:t xml:space="preserve"> було придбано:</w:t>
      </w:r>
    </w:p>
    <w:p w:rsidR="00973498" w:rsidRDefault="00973498" w:rsidP="00973498">
      <w:pPr>
        <w:spacing w:line="20" w:lineRule="atLeast"/>
        <w:ind w:firstLine="709"/>
        <w:jc w:val="both"/>
        <w:rPr>
          <w:sz w:val="27"/>
          <w:szCs w:val="27"/>
          <w:lang w:val="uk-UA"/>
        </w:rPr>
      </w:pPr>
    </w:p>
    <w:tbl>
      <w:tblPr>
        <w:tblW w:w="9915" w:type="dxa"/>
        <w:tblInd w:w="93" w:type="dxa"/>
        <w:tblLook w:val="0000" w:firstRow="0" w:lastRow="0" w:firstColumn="0" w:lastColumn="0" w:noHBand="0" w:noVBand="0"/>
      </w:tblPr>
      <w:tblGrid>
        <w:gridCol w:w="594"/>
        <w:gridCol w:w="5001"/>
        <w:gridCol w:w="746"/>
        <w:gridCol w:w="799"/>
        <w:gridCol w:w="1133"/>
        <w:gridCol w:w="1642"/>
      </w:tblGrid>
      <w:tr w:rsidR="00973498" w:rsidRPr="001540DC" w:rsidTr="00973498">
        <w:trPr>
          <w:trHeight w:val="600"/>
        </w:trPr>
        <w:tc>
          <w:tcPr>
            <w:tcW w:w="594" w:type="dxa"/>
            <w:tcBorders>
              <w:top w:val="single" w:sz="4" w:space="0" w:color="auto"/>
              <w:left w:val="single" w:sz="4" w:space="0" w:color="auto"/>
              <w:bottom w:val="single" w:sz="4" w:space="0" w:color="auto"/>
              <w:right w:val="single" w:sz="4" w:space="0" w:color="auto"/>
            </w:tcBorders>
            <w:vAlign w:val="bottom"/>
          </w:tcPr>
          <w:p w:rsidR="00973498" w:rsidRPr="001540DC" w:rsidRDefault="00973498" w:rsidP="00973498">
            <w:pPr>
              <w:rPr>
                <w:color w:val="000000"/>
                <w:sz w:val="28"/>
                <w:szCs w:val="28"/>
              </w:rPr>
            </w:pPr>
            <w:r w:rsidRPr="001540DC">
              <w:rPr>
                <w:color w:val="000000"/>
                <w:sz w:val="28"/>
                <w:szCs w:val="28"/>
              </w:rPr>
              <w:t>№ п/п</w:t>
            </w:r>
          </w:p>
        </w:tc>
        <w:tc>
          <w:tcPr>
            <w:tcW w:w="5001" w:type="dxa"/>
            <w:tcBorders>
              <w:top w:val="single" w:sz="4" w:space="0" w:color="auto"/>
              <w:left w:val="nil"/>
              <w:bottom w:val="single" w:sz="4" w:space="0" w:color="auto"/>
              <w:right w:val="single" w:sz="4" w:space="0" w:color="auto"/>
            </w:tcBorders>
            <w:noWrap/>
            <w:vAlign w:val="bottom"/>
          </w:tcPr>
          <w:p w:rsidR="00973498" w:rsidRPr="001540DC" w:rsidRDefault="00973498" w:rsidP="00973498">
            <w:pPr>
              <w:rPr>
                <w:color w:val="000000"/>
                <w:sz w:val="28"/>
                <w:szCs w:val="28"/>
                <w:lang w:val="uk-UA"/>
              </w:rPr>
            </w:pPr>
            <w:r w:rsidRPr="001540DC">
              <w:rPr>
                <w:color w:val="000000"/>
                <w:sz w:val="28"/>
                <w:szCs w:val="28"/>
                <w:lang w:val="uk-UA"/>
              </w:rPr>
              <w:t xml:space="preserve">Назва  </w:t>
            </w:r>
          </w:p>
        </w:tc>
        <w:tc>
          <w:tcPr>
            <w:tcW w:w="746" w:type="dxa"/>
            <w:tcBorders>
              <w:top w:val="single" w:sz="4" w:space="0" w:color="auto"/>
              <w:left w:val="nil"/>
              <w:bottom w:val="single" w:sz="4" w:space="0" w:color="auto"/>
              <w:right w:val="single" w:sz="4" w:space="0" w:color="auto"/>
            </w:tcBorders>
            <w:noWrap/>
            <w:vAlign w:val="bottom"/>
          </w:tcPr>
          <w:p w:rsidR="00973498" w:rsidRPr="001540DC" w:rsidRDefault="00973498" w:rsidP="00973498">
            <w:pPr>
              <w:rPr>
                <w:color w:val="000000"/>
                <w:sz w:val="28"/>
                <w:szCs w:val="28"/>
              </w:rPr>
            </w:pPr>
            <w:r w:rsidRPr="001540DC">
              <w:rPr>
                <w:color w:val="000000"/>
                <w:sz w:val="28"/>
                <w:szCs w:val="28"/>
              </w:rPr>
              <w:t>од. вим.</w:t>
            </w:r>
          </w:p>
        </w:tc>
        <w:tc>
          <w:tcPr>
            <w:tcW w:w="799" w:type="dxa"/>
            <w:tcBorders>
              <w:top w:val="single" w:sz="4" w:space="0" w:color="auto"/>
              <w:left w:val="nil"/>
              <w:bottom w:val="single" w:sz="4" w:space="0" w:color="auto"/>
              <w:right w:val="single" w:sz="4" w:space="0" w:color="auto"/>
            </w:tcBorders>
            <w:noWrap/>
            <w:vAlign w:val="bottom"/>
          </w:tcPr>
          <w:p w:rsidR="00973498" w:rsidRPr="001540DC" w:rsidRDefault="00973498" w:rsidP="00973498">
            <w:pPr>
              <w:rPr>
                <w:color w:val="000000"/>
                <w:sz w:val="28"/>
                <w:szCs w:val="28"/>
              </w:rPr>
            </w:pPr>
            <w:r w:rsidRPr="001540DC">
              <w:rPr>
                <w:color w:val="000000"/>
                <w:sz w:val="28"/>
                <w:szCs w:val="28"/>
              </w:rPr>
              <w:t>к-сть</w:t>
            </w:r>
          </w:p>
        </w:tc>
        <w:tc>
          <w:tcPr>
            <w:tcW w:w="1133" w:type="dxa"/>
            <w:tcBorders>
              <w:top w:val="single" w:sz="4" w:space="0" w:color="auto"/>
              <w:left w:val="nil"/>
              <w:bottom w:val="single" w:sz="4" w:space="0" w:color="auto"/>
              <w:right w:val="single" w:sz="4" w:space="0" w:color="auto"/>
            </w:tcBorders>
            <w:noWrap/>
            <w:vAlign w:val="bottom"/>
          </w:tcPr>
          <w:p w:rsidR="00973498" w:rsidRPr="001540DC" w:rsidRDefault="00973498" w:rsidP="00973498">
            <w:pPr>
              <w:rPr>
                <w:color w:val="000000"/>
                <w:sz w:val="28"/>
                <w:szCs w:val="28"/>
              </w:rPr>
            </w:pPr>
            <w:r w:rsidRPr="001540DC">
              <w:rPr>
                <w:color w:val="000000"/>
                <w:sz w:val="28"/>
                <w:szCs w:val="28"/>
              </w:rPr>
              <w:t>Ціна</w:t>
            </w:r>
          </w:p>
        </w:tc>
        <w:tc>
          <w:tcPr>
            <w:tcW w:w="1642" w:type="dxa"/>
            <w:tcBorders>
              <w:top w:val="single" w:sz="4" w:space="0" w:color="auto"/>
              <w:left w:val="nil"/>
              <w:bottom w:val="single" w:sz="4" w:space="0" w:color="auto"/>
              <w:right w:val="single" w:sz="4" w:space="0" w:color="auto"/>
            </w:tcBorders>
            <w:noWrap/>
            <w:vAlign w:val="bottom"/>
          </w:tcPr>
          <w:p w:rsidR="00973498" w:rsidRPr="001540DC" w:rsidRDefault="00973498" w:rsidP="00973498">
            <w:pPr>
              <w:rPr>
                <w:color w:val="000000"/>
                <w:sz w:val="28"/>
                <w:szCs w:val="28"/>
                <w:lang w:val="uk-UA"/>
              </w:rPr>
            </w:pPr>
            <w:r w:rsidRPr="001540DC">
              <w:rPr>
                <w:color w:val="000000"/>
                <w:sz w:val="28"/>
                <w:szCs w:val="28"/>
              </w:rPr>
              <w:t>Сума</w:t>
            </w:r>
            <w:r w:rsidRPr="001540DC">
              <w:rPr>
                <w:color w:val="000000"/>
                <w:sz w:val="28"/>
                <w:szCs w:val="28"/>
                <w:lang w:val="uk-UA"/>
              </w:rPr>
              <w:t>, грн.</w:t>
            </w:r>
          </w:p>
        </w:tc>
      </w:tr>
      <w:tr w:rsidR="00973498" w:rsidRPr="001540DC" w:rsidTr="00973498">
        <w:trPr>
          <w:trHeight w:val="731"/>
        </w:trPr>
        <w:tc>
          <w:tcPr>
            <w:tcW w:w="594" w:type="dxa"/>
            <w:tcBorders>
              <w:top w:val="nil"/>
              <w:left w:val="single" w:sz="4" w:space="0" w:color="auto"/>
              <w:bottom w:val="single" w:sz="4" w:space="0" w:color="auto"/>
              <w:right w:val="single" w:sz="4" w:space="0" w:color="auto"/>
            </w:tcBorders>
            <w:noWrap/>
            <w:vAlign w:val="bottom"/>
          </w:tcPr>
          <w:p w:rsidR="00973498" w:rsidRPr="001540DC" w:rsidRDefault="00973498" w:rsidP="00973498">
            <w:pPr>
              <w:rPr>
                <w:color w:val="000000"/>
                <w:sz w:val="28"/>
                <w:szCs w:val="28"/>
                <w:lang w:val="uk-UA"/>
              </w:rPr>
            </w:pPr>
            <w:r w:rsidRPr="001540DC">
              <w:rPr>
                <w:color w:val="000000"/>
                <w:sz w:val="28"/>
                <w:szCs w:val="28"/>
              </w:rPr>
              <w:t> </w:t>
            </w:r>
            <w:r w:rsidRPr="001540DC">
              <w:rPr>
                <w:color w:val="000000"/>
                <w:sz w:val="28"/>
                <w:szCs w:val="28"/>
                <w:lang w:val="uk-UA"/>
              </w:rPr>
              <w:t>1</w:t>
            </w:r>
          </w:p>
        </w:tc>
        <w:tc>
          <w:tcPr>
            <w:tcW w:w="5001" w:type="dxa"/>
            <w:tcBorders>
              <w:top w:val="nil"/>
              <w:left w:val="nil"/>
              <w:bottom w:val="single" w:sz="4" w:space="0" w:color="auto"/>
              <w:right w:val="single" w:sz="4" w:space="0" w:color="auto"/>
            </w:tcBorders>
            <w:noWrap/>
            <w:vAlign w:val="bottom"/>
          </w:tcPr>
          <w:p w:rsidR="00973498" w:rsidRPr="001540DC" w:rsidRDefault="00973498" w:rsidP="00973498">
            <w:pPr>
              <w:rPr>
                <w:color w:val="000000"/>
                <w:sz w:val="28"/>
                <w:szCs w:val="28"/>
              </w:rPr>
            </w:pPr>
            <w:r w:rsidRPr="001540DC">
              <w:rPr>
                <w:color w:val="000000"/>
                <w:sz w:val="28"/>
                <w:szCs w:val="28"/>
              </w:rPr>
              <w:t>МФУ багатофункціональний пристрій CANON IR1133</w:t>
            </w:r>
          </w:p>
        </w:tc>
        <w:tc>
          <w:tcPr>
            <w:tcW w:w="746" w:type="dxa"/>
            <w:tcBorders>
              <w:top w:val="nil"/>
              <w:left w:val="nil"/>
              <w:bottom w:val="single" w:sz="4" w:space="0" w:color="auto"/>
              <w:right w:val="single" w:sz="4" w:space="0" w:color="auto"/>
            </w:tcBorders>
            <w:noWrap/>
            <w:vAlign w:val="bottom"/>
          </w:tcPr>
          <w:p w:rsidR="00973498" w:rsidRPr="001540DC" w:rsidRDefault="00973498" w:rsidP="00973498">
            <w:pPr>
              <w:rPr>
                <w:color w:val="000000"/>
                <w:sz w:val="28"/>
                <w:szCs w:val="28"/>
              </w:rPr>
            </w:pPr>
            <w:r w:rsidRPr="001540DC">
              <w:rPr>
                <w:color w:val="000000"/>
                <w:sz w:val="28"/>
                <w:szCs w:val="28"/>
              </w:rPr>
              <w:t>шт.</w:t>
            </w:r>
          </w:p>
        </w:tc>
        <w:tc>
          <w:tcPr>
            <w:tcW w:w="799" w:type="dxa"/>
            <w:tcBorders>
              <w:top w:val="nil"/>
              <w:left w:val="nil"/>
              <w:bottom w:val="single" w:sz="4" w:space="0" w:color="auto"/>
              <w:right w:val="single" w:sz="4" w:space="0" w:color="auto"/>
            </w:tcBorders>
            <w:noWrap/>
            <w:vAlign w:val="bottom"/>
          </w:tcPr>
          <w:p w:rsidR="00973498" w:rsidRPr="001540DC" w:rsidRDefault="00973498" w:rsidP="00973498">
            <w:pPr>
              <w:jc w:val="right"/>
              <w:rPr>
                <w:color w:val="000000"/>
                <w:sz w:val="28"/>
                <w:szCs w:val="28"/>
              </w:rPr>
            </w:pPr>
            <w:r w:rsidRPr="001540DC">
              <w:rPr>
                <w:color w:val="000000"/>
                <w:sz w:val="28"/>
                <w:szCs w:val="28"/>
              </w:rPr>
              <w:t>4</w:t>
            </w:r>
          </w:p>
        </w:tc>
        <w:tc>
          <w:tcPr>
            <w:tcW w:w="1133" w:type="dxa"/>
            <w:tcBorders>
              <w:top w:val="nil"/>
              <w:left w:val="nil"/>
              <w:bottom w:val="single" w:sz="4" w:space="0" w:color="auto"/>
              <w:right w:val="single" w:sz="4" w:space="0" w:color="auto"/>
            </w:tcBorders>
            <w:noWrap/>
            <w:vAlign w:val="bottom"/>
          </w:tcPr>
          <w:p w:rsidR="00973498" w:rsidRPr="001540DC" w:rsidRDefault="00973498" w:rsidP="00973498">
            <w:pPr>
              <w:jc w:val="right"/>
              <w:rPr>
                <w:color w:val="000000"/>
                <w:sz w:val="28"/>
                <w:szCs w:val="28"/>
              </w:rPr>
            </w:pPr>
            <w:r w:rsidRPr="001540DC">
              <w:rPr>
                <w:color w:val="000000"/>
                <w:sz w:val="28"/>
                <w:szCs w:val="28"/>
              </w:rPr>
              <w:t>7935,48</w:t>
            </w:r>
          </w:p>
        </w:tc>
        <w:tc>
          <w:tcPr>
            <w:tcW w:w="1642" w:type="dxa"/>
            <w:tcBorders>
              <w:top w:val="nil"/>
              <w:left w:val="nil"/>
              <w:bottom w:val="single" w:sz="4" w:space="0" w:color="auto"/>
              <w:right w:val="single" w:sz="4" w:space="0" w:color="auto"/>
            </w:tcBorders>
            <w:noWrap/>
            <w:vAlign w:val="bottom"/>
          </w:tcPr>
          <w:p w:rsidR="00973498" w:rsidRPr="001540DC" w:rsidRDefault="00973498" w:rsidP="00973498">
            <w:pPr>
              <w:jc w:val="right"/>
              <w:rPr>
                <w:color w:val="000000"/>
                <w:sz w:val="28"/>
                <w:szCs w:val="28"/>
              </w:rPr>
            </w:pPr>
            <w:r w:rsidRPr="001540DC">
              <w:rPr>
                <w:color w:val="000000"/>
                <w:sz w:val="28"/>
                <w:szCs w:val="28"/>
              </w:rPr>
              <w:t>31742,6</w:t>
            </w:r>
          </w:p>
        </w:tc>
      </w:tr>
      <w:tr w:rsidR="00973498" w:rsidRPr="001540DC" w:rsidTr="00973498">
        <w:trPr>
          <w:trHeight w:val="1232"/>
        </w:trPr>
        <w:tc>
          <w:tcPr>
            <w:tcW w:w="594" w:type="dxa"/>
            <w:tcBorders>
              <w:top w:val="nil"/>
              <w:left w:val="single" w:sz="4" w:space="0" w:color="auto"/>
              <w:bottom w:val="single" w:sz="4" w:space="0" w:color="auto"/>
              <w:right w:val="single" w:sz="4" w:space="0" w:color="auto"/>
            </w:tcBorders>
            <w:noWrap/>
            <w:vAlign w:val="bottom"/>
          </w:tcPr>
          <w:p w:rsidR="00973498" w:rsidRPr="001540DC" w:rsidRDefault="00973498" w:rsidP="00973498">
            <w:pPr>
              <w:rPr>
                <w:color w:val="000000"/>
                <w:sz w:val="28"/>
                <w:szCs w:val="28"/>
                <w:lang w:val="uk-UA"/>
              </w:rPr>
            </w:pPr>
            <w:r w:rsidRPr="001540DC">
              <w:rPr>
                <w:color w:val="000000"/>
                <w:sz w:val="28"/>
                <w:szCs w:val="28"/>
              </w:rPr>
              <w:t> </w:t>
            </w:r>
            <w:r w:rsidRPr="001540DC">
              <w:rPr>
                <w:color w:val="000000"/>
                <w:sz w:val="28"/>
                <w:szCs w:val="28"/>
                <w:lang w:val="uk-UA"/>
              </w:rPr>
              <w:t>2</w:t>
            </w:r>
          </w:p>
        </w:tc>
        <w:tc>
          <w:tcPr>
            <w:tcW w:w="5001" w:type="dxa"/>
            <w:tcBorders>
              <w:top w:val="nil"/>
              <w:left w:val="nil"/>
              <w:bottom w:val="single" w:sz="4" w:space="0" w:color="auto"/>
              <w:right w:val="single" w:sz="4" w:space="0" w:color="auto"/>
            </w:tcBorders>
            <w:vAlign w:val="bottom"/>
          </w:tcPr>
          <w:p w:rsidR="00973498" w:rsidRPr="001540DC" w:rsidRDefault="00973498" w:rsidP="00973498">
            <w:pPr>
              <w:rPr>
                <w:color w:val="000000"/>
                <w:sz w:val="28"/>
                <w:szCs w:val="28"/>
              </w:rPr>
            </w:pPr>
            <w:r w:rsidRPr="001540DC">
              <w:rPr>
                <w:color w:val="000000"/>
                <w:sz w:val="28"/>
                <w:szCs w:val="28"/>
              </w:rPr>
              <w:t>Компютер в комплекті (монітор/системний блок/клавіатура/мишка/кабель)</w:t>
            </w:r>
          </w:p>
        </w:tc>
        <w:tc>
          <w:tcPr>
            <w:tcW w:w="746" w:type="dxa"/>
            <w:tcBorders>
              <w:top w:val="nil"/>
              <w:left w:val="nil"/>
              <w:bottom w:val="single" w:sz="4" w:space="0" w:color="auto"/>
              <w:right w:val="single" w:sz="4" w:space="0" w:color="auto"/>
            </w:tcBorders>
            <w:noWrap/>
            <w:vAlign w:val="bottom"/>
          </w:tcPr>
          <w:p w:rsidR="00973498" w:rsidRPr="001540DC" w:rsidRDefault="00973498" w:rsidP="00973498">
            <w:pPr>
              <w:rPr>
                <w:color w:val="000000"/>
                <w:sz w:val="28"/>
                <w:szCs w:val="28"/>
              </w:rPr>
            </w:pPr>
            <w:r w:rsidRPr="001540DC">
              <w:rPr>
                <w:color w:val="000000"/>
                <w:sz w:val="28"/>
                <w:szCs w:val="28"/>
              </w:rPr>
              <w:t>шт.</w:t>
            </w:r>
          </w:p>
        </w:tc>
        <w:tc>
          <w:tcPr>
            <w:tcW w:w="799" w:type="dxa"/>
            <w:tcBorders>
              <w:top w:val="nil"/>
              <w:left w:val="nil"/>
              <w:bottom w:val="single" w:sz="4" w:space="0" w:color="auto"/>
              <w:right w:val="single" w:sz="4" w:space="0" w:color="auto"/>
            </w:tcBorders>
            <w:noWrap/>
            <w:vAlign w:val="bottom"/>
          </w:tcPr>
          <w:p w:rsidR="00973498" w:rsidRPr="001540DC" w:rsidRDefault="00973498" w:rsidP="00973498">
            <w:pPr>
              <w:jc w:val="right"/>
              <w:rPr>
                <w:color w:val="000000"/>
                <w:sz w:val="28"/>
                <w:szCs w:val="28"/>
              </w:rPr>
            </w:pPr>
            <w:r w:rsidRPr="001540DC">
              <w:rPr>
                <w:color w:val="000000"/>
                <w:sz w:val="28"/>
                <w:szCs w:val="28"/>
              </w:rPr>
              <w:t>4</w:t>
            </w:r>
          </w:p>
        </w:tc>
        <w:tc>
          <w:tcPr>
            <w:tcW w:w="1133" w:type="dxa"/>
            <w:tcBorders>
              <w:top w:val="nil"/>
              <w:left w:val="nil"/>
              <w:bottom w:val="single" w:sz="4" w:space="0" w:color="auto"/>
              <w:right w:val="single" w:sz="4" w:space="0" w:color="auto"/>
            </w:tcBorders>
            <w:noWrap/>
            <w:vAlign w:val="bottom"/>
          </w:tcPr>
          <w:p w:rsidR="00973498" w:rsidRPr="001540DC" w:rsidRDefault="00973498" w:rsidP="00973498">
            <w:pPr>
              <w:jc w:val="right"/>
              <w:rPr>
                <w:color w:val="000000"/>
                <w:sz w:val="28"/>
                <w:szCs w:val="28"/>
              </w:rPr>
            </w:pPr>
            <w:r w:rsidRPr="001540DC">
              <w:rPr>
                <w:color w:val="000000"/>
                <w:sz w:val="28"/>
                <w:szCs w:val="28"/>
              </w:rPr>
              <w:t>8708,33</w:t>
            </w:r>
          </w:p>
        </w:tc>
        <w:tc>
          <w:tcPr>
            <w:tcW w:w="1642" w:type="dxa"/>
            <w:tcBorders>
              <w:top w:val="nil"/>
              <w:left w:val="nil"/>
              <w:bottom w:val="single" w:sz="4" w:space="0" w:color="auto"/>
              <w:right w:val="single" w:sz="4" w:space="0" w:color="auto"/>
            </w:tcBorders>
            <w:noWrap/>
            <w:vAlign w:val="bottom"/>
          </w:tcPr>
          <w:p w:rsidR="00973498" w:rsidRPr="001540DC" w:rsidRDefault="00973498" w:rsidP="00973498">
            <w:pPr>
              <w:jc w:val="right"/>
              <w:rPr>
                <w:color w:val="000000"/>
                <w:sz w:val="28"/>
                <w:szCs w:val="28"/>
                <w:lang w:val="uk-UA"/>
              </w:rPr>
            </w:pPr>
            <w:r w:rsidRPr="001540DC">
              <w:rPr>
                <w:color w:val="000000"/>
                <w:sz w:val="28"/>
                <w:szCs w:val="28"/>
              </w:rPr>
              <w:t>34833</w:t>
            </w:r>
            <w:r>
              <w:rPr>
                <w:color w:val="000000"/>
                <w:sz w:val="28"/>
                <w:szCs w:val="28"/>
                <w:lang w:val="uk-UA"/>
              </w:rPr>
              <w:t>,32</w:t>
            </w:r>
          </w:p>
        </w:tc>
      </w:tr>
      <w:tr w:rsidR="00973498" w:rsidRPr="001540DC" w:rsidTr="00973498">
        <w:trPr>
          <w:trHeight w:val="300"/>
        </w:trPr>
        <w:tc>
          <w:tcPr>
            <w:tcW w:w="594" w:type="dxa"/>
            <w:tcBorders>
              <w:top w:val="nil"/>
              <w:left w:val="single" w:sz="4" w:space="0" w:color="auto"/>
              <w:bottom w:val="single" w:sz="4" w:space="0" w:color="auto"/>
              <w:right w:val="single" w:sz="4" w:space="0" w:color="auto"/>
            </w:tcBorders>
            <w:noWrap/>
            <w:vAlign w:val="bottom"/>
          </w:tcPr>
          <w:p w:rsidR="00973498" w:rsidRPr="001540DC" w:rsidRDefault="00973498" w:rsidP="00973498">
            <w:pPr>
              <w:rPr>
                <w:color w:val="000000"/>
                <w:sz w:val="28"/>
                <w:szCs w:val="28"/>
                <w:lang w:val="uk-UA"/>
              </w:rPr>
            </w:pPr>
            <w:r w:rsidRPr="001540DC">
              <w:rPr>
                <w:color w:val="000000"/>
                <w:sz w:val="28"/>
                <w:szCs w:val="28"/>
              </w:rPr>
              <w:t> </w:t>
            </w:r>
            <w:r w:rsidRPr="001540DC">
              <w:rPr>
                <w:color w:val="000000"/>
                <w:sz w:val="28"/>
                <w:szCs w:val="28"/>
                <w:lang w:val="uk-UA"/>
              </w:rPr>
              <w:t>3</w:t>
            </w:r>
          </w:p>
        </w:tc>
        <w:tc>
          <w:tcPr>
            <w:tcW w:w="5001" w:type="dxa"/>
            <w:tcBorders>
              <w:top w:val="nil"/>
              <w:left w:val="nil"/>
              <w:bottom w:val="single" w:sz="4" w:space="0" w:color="auto"/>
              <w:right w:val="single" w:sz="4" w:space="0" w:color="auto"/>
            </w:tcBorders>
            <w:noWrap/>
            <w:vAlign w:val="bottom"/>
          </w:tcPr>
          <w:p w:rsidR="00973498" w:rsidRPr="001540DC" w:rsidRDefault="00973498" w:rsidP="00973498">
            <w:pPr>
              <w:rPr>
                <w:color w:val="000000"/>
                <w:sz w:val="28"/>
                <w:szCs w:val="28"/>
              </w:rPr>
            </w:pPr>
            <w:r w:rsidRPr="001540DC">
              <w:rPr>
                <w:color w:val="000000"/>
                <w:sz w:val="28"/>
                <w:szCs w:val="28"/>
              </w:rPr>
              <w:t>Стілець</w:t>
            </w:r>
          </w:p>
        </w:tc>
        <w:tc>
          <w:tcPr>
            <w:tcW w:w="746" w:type="dxa"/>
            <w:tcBorders>
              <w:top w:val="nil"/>
              <w:left w:val="nil"/>
              <w:bottom w:val="single" w:sz="4" w:space="0" w:color="auto"/>
              <w:right w:val="single" w:sz="4" w:space="0" w:color="auto"/>
            </w:tcBorders>
            <w:noWrap/>
            <w:vAlign w:val="bottom"/>
          </w:tcPr>
          <w:p w:rsidR="00973498" w:rsidRPr="001540DC" w:rsidRDefault="00973498" w:rsidP="00973498">
            <w:pPr>
              <w:rPr>
                <w:color w:val="000000"/>
                <w:sz w:val="28"/>
                <w:szCs w:val="28"/>
              </w:rPr>
            </w:pPr>
            <w:r w:rsidRPr="001540DC">
              <w:rPr>
                <w:color w:val="000000"/>
                <w:sz w:val="28"/>
                <w:szCs w:val="28"/>
              </w:rPr>
              <w:t>шт.</w:t>
            </w:r>
          </w:p>
        </w:tc>
        <w:tc>
          <w:tcPr>
            <w:tcW w:w="799" w:type="dxa"/>
            <w:tcBorders>
              <w:top w:val="nil"/>
              <w:left w:val="nil"/>
              <w:bottom w:val="single" w:sz="4" w:space="0" w:color="auto"/>
              <w:right w:val="single" w:sz="4" w:space="0" w:color="auto"/>
            </w:tcBorders>
            <w:noWrap/>
            <w:vAlign w:val="bottom"/>
          </w:tcPr>
          <w:p w:rsidR="00973498" w:rsidRPr="001540DC" w:rsidRDefault="00973498" w:rsidP="00973498">
            <w:pPr>
              <w:jc w:val="right"/>
              <w:rPr>
                <w:color w:val="000000"/>
                <w:sz w:val="28"/>
                <w:szCs w:val="28"/>
              </w:rPr>
            </w:pPr>
            <w:r w:rsidRPr="001540DC">
              <w:rPr>
                <w:color w:val="000000"/>
                <w:sz w:val="28"/>
                <w:szCs w:val="28"/>
              </w:rPr>
              <w:t>18</w:t>
            </w:r>
          </w:p>
        </w:tc>
        <w:tc>
          <w:tcPr>
            <w:tcW w:w="1133" w:type="dxa"/>
            <w:tcBorders>
              <w:top w:val="nil"/>
              <w:left w:val="nil"/>
              <w:bottom w:val="single" w:sz="4" w:space="0" w:color="auto"/>
              <w:right w:val="single" w:sz="4" w:space="0" w:color="auto"/>
            </w:tcBorders>
            <w:noWrap/>
            <w:vAlign w:val="bottom"/>
          </w:tcPr>
          <w:p w:rsidR="00973498" w:rsidRPr="001540DC" w:rsidRDefault="00973498" w:rsidP="00973498">
            <w:pPr>
              <w:jc w:val="right"/>
              <w:rPr>
                <w:color w:val="000000"/>
                <w:sz w:val="28"/>
                <w:szCs w:val="28"/>
              </w:rPr>
            </w:pPr>
            <w:r w:rsidRPr="001540DC">
              <w:rPr>
                <w:color w:val="000000"/>
                <w:sz w:val="28"/>
                <w:szCs w:val="28"/>
              </w:rPr>
              <w:t>300</w:t>
            </w:r>
          </w:p>
        </w:tc>
        <w:tc>
          <w:tcPr>
            <w:tcW w:w="1642" w:type="dxa"/>
            <w:tcBorders>
              <w:top w:val="nil"/>
              <w:left w:val="nil"/>
              <w:bottom w:val="single" w:sz="4" w:space="0" w:color="auto"/>
              <w:right w:val="single" w:sz="4" w:space="0" w:color="auto"/>
            </w:tcBorders>
            <w:noWrap/>
            <w:vAlign w:val="bottom"/>
          </w:tcPr>
          <w:p w:rsidR="00973498" w:rsidRPr="001540DC" w:rsidRDefault="00973498" w:rsidP="00973498">
            <w:pPr>
              <w:jc w:val="right"/>
              <w:rPr>
                <w:color w:val="000000"/>
                <w:sz w:val="28"/>
                <w:szCs w:val="28"/>
              </w:rPr>
            </w:pPr>
            <w:r w:rsidRPr="001540DC">
              <w:rPr>
                <w:color w:val="000000"/>
                <w:sz w:val="28"/>
                <w:szCs w:val="28"/>
              </w:rPr>
              <w:t>5400</w:t>
            </w:r>
          </w:p>
        </w:tc>
      </w:tr>
      <w:tr w:rsidR="00973498" w:rsidRPr="001540DC" w:rsidTr="00973498">
        <w:trPr>
          <w:trHeight w:val="300"/>
        </w:trPr>
        <w:tc>
          <w:tcPr>
            <w:tcW w:w="594" w:type="dxa"/>
            <w:tcBorders>
              <w:top w:val="nil"/>
              <w:left w:val="single" w:sz="4" w:space="0" w:color="auto"/>
              <w:bottom w:val="single" w:sz="4" w:space="0" w:color="auto"/>
              <w:right w:val="single" w:sz="4" w:space="0" w:color="auto"/>
            </w:tcBorders>
            <w:noWrap/>
            <w:vAlign w:val="bottom"/>
          </w:tcPr>
          <w:p w:rsidR="00973498" w:rsidRPr="001540DC" w:rsidRDefault="00973498" w:rsidP="00973498">
            <w:pPr>
              <w:rPr>
                <w:color w:val="000000"/>
                <w:sz w:val="28"/>
                <w:szCs w:val="28"/>
                <w:lang w:val="uk-UA"/>
              </w:rPr>
            </w:pPr>
            <w:r w:rsidRPr="001540DC">
              <w:rPr>
                <w:color w:val="000000"/>
                <w:sz w:val="28"/>
                <w:szCs w:val="28"/>
              </w:rPr>
              <w:t> </w:t>
            </w:r>
            <w:r w:rsidRPr="001540DC">
              <w:rPr>
                <w:color w:val="000000"/>
                <w:sz w:val="28"/>
                <w:szCs w:val="28"/>
                <w:lang w:val="uk-UA"/>
              </w:rPr>
              <w:t>4</w:t>
            </w:r>
          </w:p>
        </w:tc>
        <w:tc>
          <w:tcPr>
            <w:tcW w:w="5001" w:type="dxa"/>
            <w:tcBorders>
              <w:top w:val="nil"/>
              <w:left w:val="nil"/>
              <w:bottom w:val="single" w:sz="4" w:space="0" w:color="auto"/>
              <w:right w:val="single" w:sz="4" w:space="0" w:color="auto"/>
            </w:tcBorders>
            <w:noWrap/>
            <w:vAlign w:val="bottom"/>
          </w:tcPr>
          <w:p w:rsidR="00973498" w:rsidRPr="001540DC" w:rsidRDefault="00973498" w:rsidP="00973498">
            <w:pPr>
              <w:rPr>
                <w:color w:val="000000"/>
                <w:sz w:val="28"/>
                <w:szCs w:val="28"/>
              </w:rPr>
            </w:pPr>
            <w:r w:rsidRPr="001540DC">
              <w:rPr>
                <w:color w:val="000000"/>
                <w:sz w:val="28"/>
                <w:szCs w:val="28"/>
              </w:rPr>
              <w:t>Крісло офісне</w:t>
            </w:r>
          </w:p>
        </w:tc>
        <w:tc>
          <w:tcPr>
            <w:tcW w:w="746" w:type="dxa"/>
            <w:tcBorders>
              <w:top w:val="nil"/>
              <w:left w:val="nil"/>
              <w:bottom w:val="single" w:sz="4" w:space="0" w:color="auto"/>
              <w:right w:val="single" w:sz="4" w:space="0" w:color="auto"/>
            </w:tcBorders>
            <w:noWrap/>
            <w:vAlign w:val="bottom"/>
          </w:tcPr>
          <w:p w:rsidR="00973498" w:rsidRPr="001540DC" w:rsidRDefault="00973498" w:rsidP="00973498">
            <w:pPr>
              <w:rPr>
                <w:color w:val="000000"/>
                <w:sz w:val="28"/>
                <w:szCs w:val="28"/>
              </w:rPr>
            </w:pPr>
            <w:r w:rsidRPr="001540DC">
              <w:rPr>
                <w:color w:val="000000"/>
                <w:sz w:val="28"/>
                <w:szCs w:val="28"/>
              </w:rPr>
              <w:t>шт.</w:t>
            </w:r>
          </w:p>
        </w:tc>
        <w:tc>
          <w:tcPr>
            <w:tcW w:w="799" w:type="dxa"/>
            <w:tcBorders>
              <w:top w:val="nil"/>
              <w:left w:val="nil"/>
              <w:bottom w:val="single" w:sz="4" w:space="0" w:color="auto"/>
              <w:right w:val="single" w:sz="4" w:space="0" w:color="auto"/>
            </w:tcBorders>
            <w:noWrap/>
            <w:vAlign w:val="bottom"/>
          </w:tcPr>
          <w:p w:rsidR="00973498" w:rsidRPr="001540DC" w:rsidRDefault="00973498" w:rsidP="00973498">
            <w:pPr>
              <w:jc w:val="right"/>
              <w:rPr>
                <w:color w:val="000000"/>
                <w:sz w:val="28"/>
                <w:szCs w:val="28"/>
              </w:rPr>
            </w:pPr>
            <w:r w:rsidRPr="001540DC">
              <w:rPr>
                <w:color w:val="000000"/>
                <w:sz w:val="28"/>
                <w:szCs w:val="28"/>
              </w:rPr>
              <w:t>26</w:t>
            </w:r>
          </w:p>
        </w:tc>
        <w:tc>
          <w:tcPr>
            <w:tcW w:w="1133" w:type="dxa"/>
            <w:tcBorders>
              <w:top w:val="nil"/>
              <w:left w:val="nil"/>
              <w:bottom w:val="single" w:sz="4" w:space="0" w:color="auto"/>
              <w:right w:val="single" w:sz="4" w:space="0" w:color="auto"/>
            </w:tcBorders>
            <w:noWrap/>
            <w:vAlign w:val="bottom"/>
          </w:tcPr>
          <w:p w:rsidR="00973498" w:rsidRPr="001540DC" w:rsidRDefault="00973498" w:rsidP="00973498">
            <w:pPr>
              <w:jc w:val="right"/>
              <w:rPr>
                <w:color w:val="000000"/>
                <w:sz w:val="28"/>
                <w:szCs w:val="28"/>
              </w:rPr>
            </w:pPr>
            <w:r w:rsidRPr="001540DC">
              <w:rPr>
                <w:color w:val="000000"/>
                <w:sz w:val="28"/>
                <w:szCs w:val="28"/>
              </w:rPr>
              <w:t>800</w:t>
            </w:r>
          </w:p>
        </w:tc>
        <w:tc>
          <w:tcPr>
            <w:tcW w:w="1642" w:type="dxa"/>
            <w:tcBorders>
              <w:top w:val="nil"/>
              <w:left w:val="nil"/>
              <w:bottom w:val="single" w:sz="4" w:space="0" w:color="auto"/>
              <w:right w:val="single" w:sz="4" w:space="0" w:color="auto"/>
            </w:tcBorders>
            <w:noWrap/>
            <w:vAlign w:val="bottom"/>
          </w:tcPr>
          <w:p w:rsidR="00973498" w:rsidRPr="001540DC" w:rsidRDefault="00973498" w:rsidP="00973498">
            <w:pPr>
              <w:jc w:val="right"/>
              <w:rPr>
                <w:color w:val="000000"/>
                <w:sz w:val="28"/>
                <w:szCs w:val="28"/>
              </w:rPr>
            </w:pPr>
            <w:r w:rsidRPr="001540DC">
              <w:rPr>
                <w:color w:val="000000"/>
                <w:sz w:val="28"/>
                <w:szCs w:val="28"/>
              </w:rPr>
              <w:t>20800</w:t>
            </w:r>
          </w:p>
        </w:tc>
      </w:tr>
      <w:tr w:rsidR="00973498" w:rsidRPr="001540DC" w:rsidTr="00973498">
        <w:trPr>
          <w:trHeight w:val="300"/>
        </w:trPr>
        <w:tc>
          <w:tcPr>
            <w:tcW w:w="594" w:type="dxa"/>
            <w:tcBorders>
              <w:top w:val="nil"/>
              <w:left w:val="single" w:sz="4" w:space="0" w:color="auto"/>
              <w:bottom w:val="single" w:sz="4" w:space="0" w:color="auto"/>
              <w:right w:val="single" w:sz="4" w:space="0" w:color="auto"/>
            </w:tcBorders>
            <w:noWrap/>
            <w:vAlign w:val="bottom"/>
          </w:tcPr>
          <w:p w:rsidR="00973498" w:rsidRPr="001540DC" w:rsidRDefault="00973498" w:rsidP="00973498">
            <w:pPr>
              <w:rPr>
                <w:color w:val="000000"/>
                <w:sz w:val="28"/>
                <w:szCs w:val="28"/>
                <w:lang w:val="uk-UA"/>
              </w:rPr>
            </w:pPr>
            <w:r w:rsidRPr="001540DC">
              <w:rPr>
                <w:color w:val="000000"/>
                <w:sz w:val="28"/>
                <w:szCs w:val="28"/>
              </w:rPr>
              <w:t> </w:t>
            </w:r>
            <w:r w:rsidRPr="001540DC">
              <w:rPr>
                <w:color w:val="000000"/>
                <w:sz w:val="28"/>
                <w:szCs w:val="28"/>
                <w:lang w:val="uk-UA"/>
              </w:rPr>
              <w:t>5</w:t>
            </w:r>
          </w:p>
        </w:tc>
        <w:tc>
          <w:tcPr>
            <w:tcW w:w="5001" w:type="dxa"/>
            <w:tcBorders>
              <w:top w:val="nil"/>
              <w:left w:val="nil"/>
              <w:bottom w:val="single" w:sz="4" w:space="0" w:color="auto"/>
              <w:right w:val="single" w:sz="4" w:space="0" w:color="auto"/>
            </w:tcBorders>
            <w:noWrap/>
            <w:vAlign w:val="bottom"/>
          </w:tcPr>
          <w:p w:rsidR="00973498" w:rsidRPr="001540DC" w:rsidRDefault="00973498" w:rsidP="00973498">
            <w:pPr>
              <w:rPr>
                <w:color w:val="000000"/>
                <w:sz w:val="28"/>
                <w:szCs w:val="28"/>
              </w:rPr>
            </w:pPr>
            <w:r w:rsidRPr="001540DC">
              <w:rPr>
                <w:color w:val="000000"/>
                <w:sz w:val="28"/>
                <w:szCs w:val="28"/>
              </w:rPr>
              <w:t>телефонний апарат Panasonic</w:t>
            </w:r>
          </w:p>
        </w:tc>
        <w:tc>
          <w:tcPr>
            <w:tcW w:w="746" w:type="dxa"/>
            <w:tcBorders>
              <w:top w:val="nil"/>
              <w:left w:val="nil"/>
              <w:bottom w:val="single" w:sz="4" w:space="0" w:color="auto"/>
              <w:right w:val="single" w:sz="4" w:space="0" w:color="auto"/>
            </w:tcBorders>
            <w:noWrap/>
            <w:vAlign w:val="bottom"/>
          </w:tcPr>
          <w:p w:rsidR="00973498" w:rsidRPr="001540DC" w:rsidRDefault="00973498" w:rsidP="00973498">
            <w:pPr>
              <w:rPr>
                <w:color w:val="000000"/>
                <w:sz w:val="28"/>
                <w:szCs w:val="28"/>
              </w:rPr>
            </w:pPr>
            <w:r w:rsidRPr="001540DC">
              <w:rPr>
                <w:color w:val="000000"/>
                <w:sz w:val="28"/>
                <w:szCs w:val="28"/>
              </w:rPr>
              <w:t>шт.</w:t>
            </w:r>
          </w:p>
        </w:tc>
        <w:tc>
          <w:tcPr>
            <w:tcW w:w="799" w:type="dxa"/>
            <w:tcBorders>
              <w:top w:val="nil"/>
              <w:left w:val="nil"/>
              <w:bottom w:val="single" w:sz="4" w:space="0" w:color="auto"/>
              <w:right w:val="single" w:sz="4" w:space="0" w:color="auto"/>
            </w:tcBorders>
            <w:noWrap/>
            <w:vAlign w:val="bottom"/>
          </w:tcPr>
          <w:p w:rsidR="00973498" w:rsidRPr="001540DC" w:rsidRDefault="00973498" w:rsidP="00973498">
            <w:pPr>
              <w:jc w:val="right"/>
              <w:rPr>
                <w:color w:val="000000"/>
                <w:sz w:val="28"/>
                <w:szCs w:val="28"/>
              </w:rPr>
            </w:pPr>
            <w:r w:rsidRPr="001540DC">
              <w:rPr>
                <w:color w:val="000000"/>
                <w:sz w:val="28"/>
                <w:szCs w:val="28"/>
              </w:rPr>
              <w:t>10</w:t>
            </w:r>
          </w:p>
        </w:tc>
        <w:tc>
          <w:tcPr>
            <w:tcW w:w="1133" w:type="dxa"/>
            <w:tcBorders>
              <w:top w:val="nil"/>
              <w:left w:val="nil"/>
              <w:bottom w:val="single" w:sz="4" w:space="0" w:color="auto"/>
              <w:right w:val="single" w:sz="4" w:space="0" w:color="auto"/>
            </w:tcBorders>
            <w:noWrap/>
            <w:vAlign w:val="bottom"/>
          </w:tcPr>
          <w:p w:rsidR="00973498" w:rsidRPr="001540DC" w:rsidRDefault="00973498" w:rsidP="00973498">
            <w:pPr>
              <w:jc w:val="right"/>
              <w:rPr>
                <w:color w:val="000000"/>
                <w:sz w:val="28"/>
                <w:szCs w:val="28"/>
              </w:rPr>
            </w:pPr>
            <w:r w:rsidRPr="001540DC">
              <w:rPr>
                <w:color w:val="000000"/>
                <w:sz w:val="28"/>
                <w:szCs w:val="28"/>
              </w:rPr>
              <w:t>804</w:t>
            </w:r>
          </w:p>
        </w:tc>
        <w:tc>
          <w:tcPr>
            <w:tcW w:w="1642" w:type="dxa"/>
            <w:tcBorders>
              <w:top w:val="nil"/>
              <w:left w:val="nil"/>
              <w:bottom w:val="single" w:sz="4" w:space="0" w:color="auto"/>
              <w:right w:val="single" w:sz="4" w:space="0" w:color="auto"/>
            </w:tcBorders>
            <w:noWrap/>
            <w:vAlign w:val="bottom"/>
          </w:tcPr>
          <w:p w:rsidR="00973498" w:rsidRPr="001540DC" w:rsidRDefault="00973498" w:rsidP="00973498">
            <w:pPr>
              <w:jc w:val="right"/>
              <w:rPr>
                <w:color w:val="000000"/>
                <w:sz w:val="28"/>
                <w:szCs w:val="28"/>
              </w:rPr>
            </w:pPr>
            <w:r w:rsidRPr="001540DC">
              <w:rPr>
                <w:color w:val="000000"/>
                <w:sz w:val="28"/>
                <w:szCs w:val="28"/>
              </w:rPr>
              <w:t>8040</w:t>
            </w:r>
          </w:p>
        </w:tc>
      </w:tr>
      <w:tr w:rsidR="00973498" w:rsidRPr="001540DC" w:rsidTr="00973498">
        <w:trPr>
          <w:trHeight w:val="300"/>
        </w:trPr>
        <w:tc>
          <w:tcPr>
            <w:tcW w:w="594" w:type="dxa"/>
            <w:tcBorders>
              <w:top w:val="nil"/>
              <w:left w:val="single" w:sz="4" w:space="0" w:color="auto"/>
              <w:bottom w:val="single" w:sz="4" w:space="0" w:color="auto"/>
              <w:right w:val="single" w:sz="4" w:space="0" w:color="auto"/>
            </w:tcBorders>
            <w:noWrap/>
            <w:vAlign w:val="bottom"/>
          </w:tcPr>
          <w:p w:rsidR="00973498" w:rsidRPr="001540DC" w:rsidRDefault="00973498" w:rsidP="00973498">
            <w:pPr>
              <w:rPr>
                <w:color w:val="000000"/>
                <w:sz w:val="28"/>
                <w:szCs w:val="28"/>
                <w:lang w:val="uk-UA"/>
              </w:rPr>
            </w:pPr>
            <w:r w:rsidRPr="001540DC">
              <w:rPr>
                <w:color w:val="000000"/>
                <w:sz w:val="28"/>
                <w:szCs w:val="28"/>
              </w:rPr>
              <w:t> </w:t>
            </w:r>
            <w:r w:rsidRPr="001540DC">
              <w:rPr>
                <w:color w:val="000000"/>
                <w:sz w:val="28"/>
                <w:szCs w:val="28"/>
                <w:lang w:val="uk-UA"/>
              </w:rPr>
              <w:t>6</w:t>
            </w:r>
          </w:p>
        </w:tc>
        <w:tc>
          <w:tcPr>
            <w:tcW w:w="5001" w:type="dxa"/>
            <w:tcBorders>
              <w:top w:val="nil"/>
              <w:left w:val="nil"/>
              <w:bottom w:val="single" w:sz="4" w:space="0" w:color="auto"/>
              <w:right w:val="single" w:sz="4" w:space="0" w:color="auto"/>
            </w:tcBorders>
            <w:noWrap/>
            <w:vAlign w:val="bottom"/>
          </w:tcPr>
          <w:p w:rsidR="00973498" w:rsidRPr="001540DC" w:rsidRDefault="00973498" w:rsidP="00973498">
            <w:pPr>
              <w:rPr>
                <w:color w:val="000000"/>
                <w:sz w:val="28"/>
                <w:szCs w:val="28"/>
              </w:rPr>
            </w:pPr>
            <w:r w:rsidRPr="001540DC">
              <w:rPr>
                <w:color w:val="000000"/>
                <w:sz w:val="28"/>
                <w:szCs w:val="28"/>
              </w:rPr>
              <w:t>Факсимільний аппарат Panasonic</w:t>
            </w:r>
          </w:p>
        </w:tc>
        <w:tc>
          <w:tcPr>
            <w:tcW w:w="746" w:type="dxa"/>
            <w:tcBorders>
              <w:top w:val="nil"/>
              <w:left w:val="nil"/>
              <w:bottom w:val="single" w:sz="4" w:space="0" w:color="auto"/>
              <w:right w:val="single" w:sz="4" w:space="0" w:color="auto"/>
            </w:tcBorders>
            <w:noWrap/>
            <w:vAlign w:val="bottom"/>
          </w:tcPr>
          <w:p w:rsidR="00973498" w:rsidRPr="001540DC" w:rsidRDefault="00973498" w:rsidP="00973498">
            <w:pPr>
              <w:rPr>
                <w:color w:val="000000"/>
                <w:sz w:val="28"/>
                <w:szCs w:val="28"/>
              </w:rPr>
            </w:pPr>
            <w:r w:rsidRPr="001540DC">
              <w:rPr>
                <w:color w:val="000000"/>
                <w:sz w:val="28"/>
                <w:szCs w:val="28"/>
              </w:rPr>
              <w:t>шт.</w:t>
            </w:r>
          </w:p>
        </w:tc>
        <w:tc>
          <w:tcPr>
            <w:tcW w:w="799" w:type="dxa"/>
            <w:tcBorders>
              <w:top w:val="nil"/>
              <w:left w:val="nil"/>
              <w:bottom w:val="single" w:sz="4" w:space="0" w:color="auto"/>
              <w:right w:val="single" w:sz="4" w:space="0" w:color="auto"/>
            </w:tcBorders>
            <w:noWrap/>
            <w:vAlign w:val="bottom"/>
          </w:tcPr>
          <w:p w:rsidR="00973498" w:rsidRPr="001540DC" w:rsidRDefault="00973498" w:rsidP="00973498">
            <w:pPr>
              <w:jc w:val="right"/>
              <w:rPr>
                <w:color w:val="000000"/>
                <w:sz w:val="28"/>
                <w:szCs w:val="28"/>
              </w:rPr>
            </w:pPr>
            <w:r w:rsidRPr="001540DC">
              <w:rPr>
                <w:color w:val="000000"/>
                <w:sz w:val="28"/>
                <w:szCs w:val="28"/>
              </w:rPr>
              <w:t>2</w:t>
            </w:r>
          </w:p>
        </w:tc>
        <w:tc>
          <w:tcPr>
            <w:tcW w:w="1133" w:type="dxa"/>
            <w:tcBorders>
              <w:top w:val="nil"/>
              <w:left w:val="nil"/>
              <w:bottom w:val="single" w:sz="4" w:space="0" w:color="auto"/>
              <w:right w:val="single" w:sz="4" w:space="0" w:color="auto"/>
            </w:tcBorders>
            <w:noWrap/>
            <w:vAlign w:val="bottom"/>
          </w:tcPr>
          <w:p w:rsidR="00973498" w:rsidRPr="001540DC" w:rsidRDefault="00973498" w:rsidP="00973498">
            <w:pPr>
              <w:jc w:val="right"/>
              <w:rPr>
                <w:color w:val="000000"/>
                <w:sz w:val="28"/>
                <w:szCs w:val="28"/>
              </w:rPr>
            </w:pPr>
            <w:r w:rsidRPr="001540DC">
              <w:rPr>
                <w:color w:val="000000"/>
                <w:sz w:val="28"/>
                <w:szCs w:val="28"/>
              </w:rPr>
              <w:t>3587,2</w:t>
            </w:r>
          </w:p>
        </w:tc>
        <w:tc>
          <w:tcPr>
            <w:tcW w:w="1642" w:type="dxa"/>
            <w:tcBorders>
              <w:top w:val="nil"/>
              <w:left w:val="nil"/>
              <w:bottom w:val="single" w:sz="4" w:space="0" w:color="auto"/>
              <w:right w:val="single" w:sz="4" w:space="0" w:color="auto"/>
            </w:tcBorders>
            <w:noWrap/>
            <w:vAlign w:val="bottom"/>
          </w:tcPr>
          <w:p w:rsidR="00973498" w:rsidRPr="001540DC" w:rsidRDefault="00973498" w:rsidP="00973498">
            <w:pPr>
              <w:jc w:val="right"/>
              <w:rPr>
                <w:color w:val="000000"/>
                <w:sz w:val="28"/>
                <w:szCs w:val="28"/>
              </w:rPr>
            </w:pPr>
            <w:r w:rsidRPr="001540DC">
              <w:rPr>
                <w:color w:val="000000"/>
                <w:sz w:val="28"/>
                <w:szCs w:val="28"/>
              </w:rPr>
              <w:t>7174,4</w:t>
            </w:r>
          </w:p>
        </w:tc>
      </w:tr>
      <w:tr w:rsidR="00973498" w:rsidRPr="001540DC" w:rsidTr="00973498">
        <w:trPr>
          <w:trHeight w:val="300"/>
        </w:trPr>
        <w:tc>
          <w:tcPr>
            <w:tcW w:w="594" w:type="dxa"/>
            <w:tcBorders>
              <w:top w:val="nil"/>
              <w:left w:val="single" w:sz="4" w:space="0" w:color="auto"/>
              <w:bottom w:val="single" w:sz="4" w:space="0" w:color="auto"/>
              <w:right w:val="single" w:sz="4" w:space="0" w:color="auto"/>
            </w:tcBorders>
            <w:noWrap/>
            <w:vAlign w:val="bottom"/>
          </w:tcPr>
          <w:p w:rsidR="00973498" w:rsidRPr="001540DC" w:rsidRDefault="00973498" w:rsidP="00973498">
            <w:pPr>
              <w:rPr>
                <w:color w:val="000000"/>
                <w:sz w:val="28"/>
                <w:szCs w:val="28"/>
              </w:rPr>
            </w:pPr>
            <w:r w:rsidRPr="001540DC">
              <w:rPr>
                <w:color w:val="000000"/>
                <w:sz w:val="28"/>
                <w:szCs w:val="28"/>
              </w:rPr>
              <w:t> </w:t>
            </w:r>
          </w:p>
        </w:tc>
        <w:tc>
          <w:tcPr>
            <w:tcW w:w="5001" w:type="dxa"/>
            <w:tcBorders>
              <w:top w:val="nil"/>
              <w:left w:val="nil"/>
              <w:bottom w:val="single" w:sz="4" w:space="0" w:color="auto"/>
              <w:right w:val="single" w:sz="4" w:space="0" w:color="auto"/>
            </w:tcBorders>
            <w:noWrap/>
            <w:vAlign w:val="bottom"/>
          </w:tcPr>
          <w:p w:rsidR="00973498" w:rsidRPr="001540DC" w:rsidRDefault="00973498" w:rsidP="00973498">
            <w:pPr>
              <w:rPr>
                <w:color w:val="000000"/>
                <w:sz w:val="28"/>
                <w:szCs w:val="28"/>
                <w:lang w:val="uk-UA"/>
              </w:rPr>
            </w:pPr>
            <w:r w:rsidRPr="001540DC">
              <w:rPr>
                <w:color w:val="000000"/>
                <w:sz w:val="28"/>
                <w:szCs w:val="28"/>
              </w:rPr>
              <w:t>Разом</w:t>
            </w:r>
            <w:r w:rsidRPr="001540DC">
              <w:rPr>
                <w:color w:val="000000"/>
                <w:sz w:val="28"/>
                <w:szCs w:val="28"/>
                <w:lang w:val="uk-UA"/>
              </w:rPr>
              <w:t>, грн.</w:t>
            </w:r>
          </w:p>
        </w:tc>
        <w:tc>
          <w:tcPr>
            <w:tcW w:w="746" w:type="dxa"/>
            <w:tcBorders>
              <w:top w:val="nil"/>
              <w:left w:val="nil"/>
              <w:bottom w:val="single" w:sz="4" w:space="0" w:color="auto"/>
              <w:right w:val="single" w:sz="4" w:space="0" w:color="auto"/>
            </w:tcBorders>
            <w:noWrap/>
            <w:vAlign w:val="bottom"/>
          </w:tcPr>
          <w:p w:rsidR="00973498" w:rsidRPr="001540DC" w:rsidRDefault="00973498" w:rsidP="00973498">
            <w:pPr>
              <w:rPr>
                <w:color w:val="000000"/>
                <w:sz w:val="28"/>
                <w:szCs w:val="28"/>
              </w:rPr>
            </w:pPr>
            <w:r w:rsidRPr="001540DC">
              <w:rPr>
                <w:color w:val="000000"/>
                <w:sz w:val="28"/>
                <w:szCs w:val="28"/>
              </w:rPr>
              <w:t> </w:t>
            </w:r>
          </w:p>
        </w:tc>
        <w:tc>
          <w:tcPr>
            <w:tcW w:w="799" w:type="dxa"/>
            <w:tcBorders>
              <w:top w:val="nil"/>
              <w:left w:val="nil"/>
              <w:bottom w:val="single" w:sz="4" w:space="0" w:color="auto"/>
              <w:right w:val="single" w:sz="4" w:space="0" w:color="auto"/>
            </w:tcBorders>
            <w:noWrap/>
            <w:vAlign w:val="bottom"/>
          </w:tcPr>
          <w:p w:rsidR="00973498" w:rsidRPr="001540DC" w:rsidRDefault="00973498" w:rsidP="00973498">
            <w:pPr>
              <w:rPr>
                <w:color w:val="000000"/>
                <w:sz w:val="28"/>
                <w:szCs w:val="28"/>
              </w:rPr>
            </w:pPr>
            <w:r w:rsidRPr="001540DC">
              <w:rPr>
                <w:color w:val="000000"/>
                <w:sz w:val="28"/>
                <w:szCs w:val="28"/>
              </w:rPr>
              <w:t> </w:t>
            </w:r>
          </w:p>
        </w:tc>
        <w:tc>
          <w:tcPr>
            <w:tcW w:w="1133" w:type="dxa"/>
            <w:tcBorders>
              <w:top w:val="nil"/>
              <w:left w:val="nil"/>
              <w:bottom w:val="single" w:sz="4" w:space="0" w:color="auto"/>
              <w:right w:val="single" w:sz="4" w:space="0" w:color="auto"/>
            </w:tcBorders>
            <w:noWrap/>
            <w:vAlign w:val="bottom"/>
          </w:tcPr>
          <w:p w:rsidR="00973498" w:rsidRPr="001540DC" w:rsidRDefault="00973498" w:rsidP="00973498">
            <w:pPr>
              <w:rPr>
                <w:color w:val="000000"/>
                <w:sz w:val="28"/>
                <w:szCs w:val="28"/>
              </w:rPr>
            </w:pPr>
            <w:r w:rsidRPr="001540DC">
              <w:rPr>
                <w:color w:val="000000"/>
                <w:sz w:val="28"/>
                <w:szCs w:val="28"/>
              </w:rPr>
              <w:t> </w:t>
            </w:r>
          </w:p>
        </w:tc>
        <w:tc>
          <w:tcPr>
            <w:tcW w:w="1642" w:type="dxa"/>
            <w:tcBorders>
              <w:top w:val="nil"/>
              <w:left w:val="nil"/>
              <w:bottom w:val="single" w:sz="4" w:space="0" w:color="auto"/>
              <w:right w:val="single" w:sz="4" w:space="0" w:color="auto"/>
            </w:tcBorders>
            <w:noWrap/>
            <w:vAlign w:val="bottom"/>
          </w:tcPr>
          <w:p w:rsidR="00973498" w:rsidRPr="001540DC" w:rsidRDefault="00973498" w:rsidP="00973498">
            <w:pPr>
              <w:jc w:val="right"/>
              <w:rPr>
                <w:color w:val="000000"/>
                <w:sz w:val="28"/>
                <w:szCs w:val="28"/>
              </w:rPr>
            </w:pPr>
            <w:r w:rsidRPr="001540DC">
              <w:rPr>
                <w:color w:val="000000"/>
                <w:sz w:val="28"/>
                <w:szCs w:val="28"/>
              </w:rPr>
              <w:t>107990</w:t>
            </w:r>
          </w:p>
        </w:tc>
      </w:tr>
    </w:tbl>
    <w:p w:rsidR="00973498" w:rsidRDefault="00973498" w:rsidP="00973498">
      <w:pPr>
        <w:spacing w:line="20" w:lineRule="atLeast"/>
        <w:ind w:firstLine="709"/>
        <w:jc w:val="both"/>
        <w:rPr>
          <w:sz w:val="27"/>
          <w:szCs w:val="27"/>
          <w:lang w:val="uk-UA"/>
        </w:rPr>
      </w:pPr>
    </w:p>
    <w:p w:rsidR="00973498" w:rsidRPr="00C3465B" w:rsidRDefault="00973498" w:rsidP="00973498">
      <w:pPr>
        <w:spacing w:line="20" w:lineRule="atLeast"/>
        <w:ind w:firstLine="709"/>
        <w:jc w:val="both"/>
        <w:rPr>
          <w:sz w:val="27"/>
          <w:szCs w:val="27"/>
          <w:lang w:val="uk-UA"/>
        </w:rPr>
      </w:pPr>
      <w:r w:rsidRPr="0049714B">
        <w:rPr>
          <w:sz w:val="27"/>
          <w:szCs w:val="27"/>
          <w:lang w:val="uk-UA"/>
        </w:rPr>
        <w:t>У 201</w:t>
      </w:r>
      <w:r w:rsidRPr="004605FC">
        <w:rPr>
          <w:sz w:val="27"/>
          <w:szCs w:val="27"/>
        </w:rPr>
        <w:t>7</w:t>
      </w:r>
      <w:r w:rsidRPr="0049714B">
        <w:rPr>
          <w:sz w:val="27"/>
          <w:szCs w:val="27"/>
          <w:lang w:val="uk-UA"/>
        </w:rPr>
        <w:t xml:space="preserve"> році на реалізацію заходів Програми передбачений обсяг фінансування з міського бюджету склав </w:t>
      </w:r>
      <w:r w:rsidRPr="004605FC">
        <w:rPr>
          <w:sz w:val="27"/>
          <w:szCs w:val="27"/>
        </w:rPr>
        <w:t>1</w:t>
      </w:r>
      <w:r>
        <w:rPr>
          <w:sz w:val="27"/>
          <w:szCs w:val="27"/>
          <w:lang w:val="uk-UA"/>
        </w:rPr>
        <w:t>38</w:t>
      </w:r>
      <w:r w:rsidRPr="0049714B">
        <w:rPr>
          <w:sz w:val="27"/>
          <w:szCs w:val="27"/>
          <w:lang w:val="uk-UA"/>
        </w:rPr>
        <w:t xml:space="preserve"> тис. грн. </w:t>
      </w:r>
      <w:r>
        <w:rPr>
          <w:sz w:val="27"/>
          <w:szCs w:val="27"/>
          <w:lang w:val="uk-UA"/>
        </w:rPr>
        <w:t>З</w:t>
      </w:r>
      <w:r w:rsidRPr="0049714B">
        <w:rPr>
          <w:sz w:val="27"/>
          <w:szCs w:val="27"/>
          <w:lang w:val="uk-UA"/>
        </w:rPr>
        <w:t xml:space="preserve">гідно рішення Чернівецької </w:t>
      </w:r>
      <w:r>
        <w:rPr>
          <w:sz w:val="27"/>
          <w:szCs w:val="27"/>
          <w:lang w:val="uk-UA"/>
        </w:rPr>
        <w:t>м</w:t>
      </w:r>
      <w:r w:rsidRPr="0049714B">
        <w:rPr>
          <w:sz w:val="27"/>
          <w:szCs w:val="27"/>
          <w:lang w:val="uk-UA"/>
        </w:rPr>
        <w:t xml:space="preserve">іської ради </w:t>
      </w:r>
      <w:r w:rsidRPr="00C3465B">
        <w:rPr>
          <w:sz w:val="27"/>
          <w:szCs w:val="27"/>
          <w:lang w:val="uk-UA"/>
        </w:rPr>
        <w:t xml:space="preserve"> VII скликання від 21.12.2017р. №1031 Чернівецька ОДПІ у грудні 2017 року отримала по вказаній Програмі  фінансування в сумі 138</w:t>
      </w:r>
      <w:r>
        <w:rPr>
          <w:sz w:val="27"/>
          <w:szCs w:val="27"/>
          <w:lang w:val="uk-UA"/>
        </w:rPr>
        <w:t xml:space="preserve"> </w:t>
      </w:r>
      <w:r w:rsidRPr="00C3465B">
        <w:rPr>
          <w:sz w:val="27"/>
          <w:szCs w:val="27"/>
          <w:lang w:val="uk-UA"/>
        </w:rPr>
        <w:lastRenderedPageBreak/>
        <w:t>тис.грн. Зазначені кошти були повністю освоєні у 2017 році для оновлення матеріально-технічної бази Чернівецької ОДПІ, а саме було придбано:</w:t>
      </w:r>
    </w:p>
    <w:p w:rsidR="00973498" w:rsidRPr="00C3465B" w:rsidRDefault="00973498" w:rsidP="00973498">
      <w:pPr>
        <w:spacing w:line="20" w:lineRule="atLeast"/>
        <w:ind w:firstLine="709"/>
        <w:jc w:val="both"/>
        <w:rPr>
          <w:sz w:val="27"/>
          <w:szCs w:val="27"/>
          <w:lang w:val="uk-UA"/>
        </w:rPr>
      </w:pPr>
    </w:p>
    <w:tbl>
      <w:tblPr>
        <w:tblW w:w="9915" w:type="dxa"/>
        <w:tblInd w:w="93" w:type="dxa"/>
        <w:tblLook w:val="0000" w:firstRow="0" w:lastRow="0" w:firstColumn="0" w:lastColumn="0" w:noHBand="0" w:noVBand="0"/>
      </w:tblPr>
      <w:tblGrid>
        <w:gridCol w:w="594"/>
        <w:gridCol w:w="5001"/>
        <w:gridCol w:w="746"/>
        <w:gridCol w:w="799"/>
        <w:gridCol w:w="1133"/>
        <w:gridCol w:w="1642"/>
      </w:tblGrid>
      <w:tr w:rsidR="00973498" w:rsidRPr="00C3465B" w:rsidTr="00973498">
        <w:trPr>
          <w:trHeight w:val="600"/>
        </w:trPr>
        <w:tc>
          <w:tcPr>
            <w:tcW w:w="594" w:type="dxa"/>
            <w:tcBorders>
              <w:top w:val="single" w:sz="4" w:space="0" w:color="auto"/>
              <w:left w:val="single" w:sz="4" w:space="0" w:color="auto"/>
              <w:bottom w:val="single" w:sz="4" w:space="0" w:color="auto"/>
              <w:right w:val="single" w:sz="4" w:space="0" w:color="auto"/>
            </w:tcBorders>
            <w:vAlign w:val="bottom"/>
          </w:tcPr>
          <w:p w:rsidR="00973498" w:rsidRPr="00C3465B" w:rsidRDefault="00973498" w:rsidP="00973498">
            <w:pPr>
              <w:rPr>
                <w:sz w:val="28"/>
                <w:szCs w:val="28"/>
              </w:rPr>
            </w:pPr>
            <w:r w:rsidRPr="00C3465B">
              <w:rPr>
                <w:sz w:val="28"/>
                <w:szCs w:val="28"/>
              </w:rPr>
              <w:t>№ п/п</w:t>
            </w:r>
          </w:p>
        </w:tc>
        <w:tc>
          <w:tcPr>
            <w:tcW w:w="5001" w:type="dxa"/>
            <w:tcBorders>
              <w:top w:val="single" w:sz="4" w:space="0" w:color="auto"/>
              <w:left w:val="nil"/>
              <w:bottom w:val="single" w:sz="4" w:space="0" w:color="auto"/>
              <w:right w:val="single" w:sz="4" w:space="0" w:color="auto"/>
            </w:tcBorders>
            <w:noWrap/>
            <w:vAlign w:val="bottom"/>
          </w:tcPr>
          <w:p w:rsidR="00973498" w:rsidRPr="00C3465B" w:rsidRDefault="00973498" w:rsidP="00973498">
            <w:pPr>
              <w:rPr>
                <w:sz w:val="28"/>
                <w:szCs w:val="28"/>
                <w:lang w:val="uk-UA"/>
              </w:rPr>
            </w:pPr>
            <w:r w:rsidRPr="00C3465B">
              <w:rPr>
                <w:sz w:val="28"/>
                <w:szCs w:val="28"/>
                <w:lang w:val="uk-UA"/>
              </w:rPr>
              <w:t xml:space="preserve">Назва  </w:t>
            </w:r>
          </w:p>
        </w:tc>
        <w:tc>
          <w:tcPr>
            <w:tcW w:w="746" w:type="dxa"/>
            <w:tcBorders>
              <w:top w:val="single" w:sz="4" w:space="0" w:color="auto"/>
              <w:left w:val="nil"/>
              <w:bottom w:val="single" w:sz="4" w:space="0" w:color="auto"/>
              <w:right w:val="single" w:sz="4" w:space="0" w:color="auto"/>
            </w:tcBorders>
            <w:noWrap/>
            <w:vAlign w:val="bottom"/>
          </w:tcPr>
          <w:p w:rsidR="00973498" w:rsidRPr="00C3465B" w:rsidRDefault="00973498" w:rsidP="00973498">
            <w:pPr>
              <w:rPr>
                <w:sz w:val="28"/>
                <w:szCs w:val="28"/>
              </w:rPr>
            </w:pPr>
            <w:r w:rsidRPr="00C3465B">
              <w:rPr>
                <w:sz w:val="28"/>
                <w:szCs w:val="28"/>
              </w:rPr>
              <w:t>од. вим.</w:t>
            </w:r>
          </w:p>
        </w:tc>
        <w:tc>
          <w:tcPr>
            <w:tcW w:w="799" w:type="dxa"/>
            <w:tcBorders>
              <w:top w:val="single" w:sz="4" w:space="0" w:color="auto"/>
              <w:left w:val="nil"/>
              <w:bottom w:val="single" w:sz="4" w:space="0" w:color="auto"/>
              <w:right w:val="single" w:sz="4" w:space="0" w:color="auto"/>
            </w:tcBorders>
            <w:noWrap/>
            <w:vAlign w:val="bottom"/>
          </w:tcPr>
          <w:p w:rsidR="00973498" w:rsidRPr="00C3465B" w:rsidRDefault="00973498" w:rsidP="00973498">
            <w:pPr>
              <w:rPr>
                <w:sz w:val="28"/>
                <w:szCs w:val="28"/>
              </w:rPr>
            </w:pPr>
            <w:r w:rsidRPr="00C3465B">
              <w:rPr>
                <w:sz w:val="28"/>
                <w:szCs w:val="28"/>
              </w:rPr>
              <w:t>к-сть</w:t>
            </w:r>
          </w:p>
        </w:tc>
        <w:tc>
          <w:tcPr>
            <w:tcW w:w="1133" w:type="dxa"/>
            <w:tcBorders>
              <w:top w:val="single" w:sz="4" w:space="0" w:color="auto"/>
              <w:left w:val="nil"/>
              <w:bottom w:val="single" w:sz="4" w:space="0" w:color="auto"/>
              <w:right w:val="single" w:sz="4" w:space="0" w:color="auto"/>
            </w:tcBorders>
            <w:noWrap/>
            <w:vAlign w:val="bottom"/>
          </w:tcPr>
          <w:p w:rsidR="00973498" w:rsidRPr="00C3465B" w:rsidRDefault="00973498" w:rsidP="00973498">
            <w:pPr>
              <w:rPr>
                <w:sz w:val="28"/>
                <w:szCs w:val="28"/>
              </w:rPr>
            </w:pPr>
            <w:r w:rsidRPr="00C3465B">
              <w:rPr>
                <w:sz w:val="28"/>
                <w:szCs w:val="28"/>
              </w:rPr>
              <w:t>Ціна</w:t>
            </w:r>
          </w:p>
        </w:tc>
        <w:tc>
          <w:tcPr>
            <w:tcW w:w="1642" w:type="dxa"/>
            <w:tcBorders>
              <w:top w:val="single" w:sz="4" w:space="0" w:color="auto"/>
              <w:left w:val="nil"/>
              <w:bottom w:val="single" w:sz="4" w:space="0" w:color="auto"/>
              <w:right w:val="single" w:sz="4" w:space="0" w:color="auto"/>
            </w:tcBorders>
            <w:noWrap/>
            <w:vAlign w:val="bottom"/>
          </w:tcPr>
          <w:p w:rsidR="00973498" w:rsidRPr="00C3465B" w:rsidRDefault="00973498" w:rsidP="00973498">
            <w:pPr>
              <w:rPr>
                <w:sz w:val="28"/>
                <w:szCs w:val="28"/>
                <w:lang w:val="uk-UA"/>
              </w:rPr>
            </w:pPr>
            <w:r w:rsidRPr="00C3465B">
              <w:rPr>
                <w:sz w:val="28"/>
                <w:szCs w:val="28"/>
              </w:rPr>
              <w:t>Сума</w:t>
            </w:r>
            <w:r w:rsidRPr="00C3465B">
              <w:rPr>
                <w:sz w:val="28"/>
                <w:szCs w:val="28"/>
                <w:lang w:val="uk-UA"/>
              </w:rPr>
              <w:t>, грн.</w:t>
            </w:r>
          </w:p>
        </w:tc>
      </w:tr>
      <w:tr w:rsidR="00973498" w:rsidRPr="00C3465B" w:rsidTr="00973498">
        <w:trPr>
          <w:trHeight w:val="1232"/>
        </w:trPr>
        <w:tc>
          <w:tcPr>
            <w:tcW w:w="594" w:type="dxa"/>
            <w:tcBorders>
              <w:top w:val="nil"/>
              <w:left w:val="single" w:sz="4" w:space="0" w:color="auto"/>
              <w:bottom w:val="single" w:sz="4" w:space="0" w:color="auto"/>
              <w:right w:val="single" w:sz="4" w:space="0" w:color="auto"/>
            </w:tcBorders>
            <w:noWrap/>
            <w:vAlign w:val="bottom"/>
          </w:tcPr>
          <w:p w:rsidR="00973498" w:rsidRPr="00C3465B" w:rsidRDefault="00973498" w:rsidP="00973498">
            <w:pPr>
              <w:rPr>
                <w:sz w:val="28"/>
                <w:szCs w:val="28"/>
                <w:lang w:val="uk-UA"/>
              </w:rPr>
            </w:pPr>
            <w:r w:rsidRPr="00C3465B">
              <w:rPr>
                <w:sz w:val="28"/>
                <w:szCs w:val="28"/>
                <w:lang w:val="uk-UA"/>
              </w:rPr>
              <w:t>1</w:t>
            </w:r>
          </w:p>
        </w:tc>
        <w:tc>
          <w:tcPr>
            <w:tcW w:w="5001" w:type="dxa"/>
            <w:tcBorders>
              <w:top w:val="nil"/>
              <w:left w:val="nil"/>
              <w:bottom w:val="single" w:sz="4" w:space="0" w:color="auto"/>
              <w:right w:val="single" w:sz="4" w:space="0" w:color="auto"/>
            </w:tcBorders>
            <w:vAlign w:val="bottom"/>
          </w:tcPr>
          <w:p w:rsidR="00973498" w:rsidRPr="00C3465B" w:rsidRDefault="00973498" w:rsidP="00973498">
            <w:pPr>
              <w:rPr>
                <w:sz w:val="28"/>
                <w:szCs w:val="28"/>
              </w:rPr>
            </w:pPr>
            <w:r w:rsidRPr="00C3465B">
              <w:rPr>
                <w:sz w:val="28"/>
                <w:szCs w:val="28"/>
              </w:rPr>
              <w:t>Компютер в комплекті (монітор/системний блок/клавіатура/мишка/кабель)</w:t>
            </w:r>
          </w:p>
        </w:tc>
        <w:tc>
          <w:tcPr>
            <w:tcW w:w="746" w:type="dxa"/>
            <w:tcBorders>
              <w:top w:val="nil"/>
              <w:left w:val="nil"/>
              <w:bottom w:val="single" w:sz="4" w:space="0" w:color="auto"/>
              <w:right w:val="single" w:sz="4" w:space="0" w:color="auto"/>
            </w:tcBorders>
            <w:noWrap/>
            <w:vAlign w:val="bottom"/>
          </w:tcPr>
          <w:p w:rsidR="00973498" w:rsidRPr="00C3465B" w:rsidRDefault="00973498" w:rsidP="00973498">
            <w:pPr>
              <w:rPr>
                <w:sz w:val="28"/>
                <w:szCs w:val="28"/>
              </w:rPr>
            </w:pPr>
            <w:r w:rsidRPr="00C3465B">
              <w:rPr>
                <w:sz w:val="28"/>
                <w:szCs w:val="28"/>
              </w:rPr>
              <w:t>шт.</w:t>
            </w:r>
          </w:p>
        </w:tc>
        <w:tc>
          <w:tcPr>
            <w:tcW w:w="799" w:type="dxa"/>
            <w:tcBorders>
              <w:top w:val="nil"/>
              <w:left w:val="nil"/>
              <w:bottom w:val="single" w:sz="4" w:space="0" w:color="auto"/>
              <w:right w:val="single" w:sz="4" w:space="0" w:color="auto"/>
            </w:tcBorders>
            <w:noWrap/>
            <w:vAlign w:val="bottom"/>
          </w:tcPr>
          <w:p w:rsidR="00973498" w:rsidRPr="00C3465B" w:rsidRDefault="00973498" w:rsidP="00973498">
            <w:pPr>
              <w:jc w:val="right"/>
              <w:rPr>
                <w:sz w:val="28"/>
                <w:szCs w:val="28"/>
              </w:rPr>
            </w:pPr>
            <w:r w:rsidRPr="00C3465B">
              <w:rPr>
                <w:sz w:val="28"/>
                <w:szCs w:val="28"/>
                <w:lang w:val="uk-UA"/>
              </w:rPr>
              <w:t>7</w:t>
            </w:r>
          </w:p>
        </w:tc>
        <w:tc>
          <w:tcPr>
            <w:tcW w:w="1133" w:type="dxa"/>
            <w:tcBorders>
              <w:top w:val="nil"/>
              <w:left w:val="nil"/>
              <w:bottom w:val="single" w:sz="4" w:space="0" w:color="auto"/>
              <w:right w:val="single" w:sz="4" w:space="0" w:color="auto"/>
            </w:tcBorders>
            <w:noWrap/>
            <w:vAlign w:val="bottom"/>
          </w:tcPr>
          <w:p w:rsidR="00973498" w:rsidRPr="00C3465B" w:rsidRDefault="00973498" w:rsidP="00973498">
            <w:pPr>
              <w:jc w:val="right"/>
              <w:rPr>
                <w:sz w:val="28"/>
                <w:szCs w:val="28"/>
              </w:rPr>
            </w:pPr>
            <w:r w:rsidRPr="00C3465B">
              <w:rPr>
                <w:sz w:val="28"/>
                <w:szCs w:val="28"/>
              </w:rPr>
              <w:t>8</w:t>
            </w:r>
            <w:r w:rsidRPr="00C3465B">
              <w:rPr>
                <w:sz w:val="28"/>
                <w:szCs w:val="28"/>
                <w:lang w:val="uk-UA"/>
              </w:rPr>
              <w:t>857,15</w:t>
            </w:r>
          </w:p>
        </w:tc>
        <w:tc>
          <w:tcPr>
            <w:tcW w:w="1642" w:type="dxa"/>
            <w:tcBorders>
              <w:top w:val="nil"/>
              <w:left w:val="nil"/>
              <w:bottom w:val="single" w:sz="4" w:space="0" w:color="auto"/>
              <w:right w:val="single" w:sz="4" w:space="0" w:color="auto"/>
            </w:tcBorders>
            <w:noWrap/>
            <w:vAlign w:val="bottom"/>
          </w:tcPr>
          <w:p w:rsidR="00973498" w:rsidRPr="00C3465B" w:rsidRDefault="00973498" w:rsidP="00973498">
            <w:pPr>
              <w:jc w:val="right"/>
              <w:rPr>
                <w:sz w:val="28"/>
                <w:szCs w:val="28"/>
                <w:lang w:val="uk-UA"/>
              </w:rPr>
            </w:pPr>
            <w:r w:rsidRPr="00C3465B">
              <w:rPr>
                <w:sz w:val="28"/>
                <w:szCs w:val="28"/>
                <w:lang w:val="uk-UA"/>
              </w:rPr>
              <w:t>62000,00</w:t>
            </w:r>
          </w:p>
        </w:tc>
      </w:tr>
      <w:tr w:rsidR="00973498" w:rsidRPr="00C3465B" w:rsidTr="00973498">
        <w:trPr>
          <w:trHeight w:val="300"/>
        </w:trPr>
        <w:tc>
          <w:tcPr>
            <w:tcW w:w="594" w:type="dxa"/>
            <w:tcBorders>
              <w:top w:val="nil"/>
              <w:left w:val="single" w:sz="4" w:space="0" w:color="auto"/>
              <w:bottom w:val="single" w:sz="4" w:space="0" w:color="auto"/>
              <w:right w:val="single" w:sz="4" w:space="0" w:color="auto"/>
            </w:tcBorders>
            <w:noWrap/>
            <w:vAlign w:val="bottom"/>
          </w:tcPr>
          <w:p w:rsidR="00973498" w:rsidRPr="00C3465B" w:rsidRDefault="00973498" w:rsidP="00973498">
            <w:pPr>
              <w:rPr>
                <w:sz w:val="28"/>
                <w:szCs w:val="28"/>
                <w:lang w:val="uk-UA"/>
              </w:rPr>
            </w:pPr>
            <w:r w:rsidRPr="00C3465B">
              <w:rPr>
                <w:sz w:val="28"/>
                <w:szCs w:val="28"/>
                <w:lang w:val="uk-UA"/>
              </w:rPr>
              <w:t>2</w:t>
            </w:r>
          </w:p>
        </w:tc>
        <w:tc>
          <w:tcPr>
            <w:tcW w:w="5001" w:type="dxa"/>
            <w:tcBorders>
              <w:top w:val="nil"/>
              <w:left w:val="nil"/>
              <w:bottom w:val="single" w:sz="4" w:space="0" w:color="auto"/>
              <w:right w:val="single" w:sz="4" w:space="0" w:color="auto"/>
            </w:tcBorders>
            <w:noWrap/>
            <w:vAlign w:val="bottom"/>
          </w:tcPr>
          <w:p w:rsidR="00973498" w:rsidRPr="00C3465B" w:rsidRDefault="00973498" w:rsidP="00973498">
            <w:pPr>
              <w:rPr>
                <w:sz w:val="28"/>
                <w:szCs w:val="28"/>
                <w:lang w:val="uk-UA"/>
              </w:rPr>
            </w:pPr>
            <w:r w:rsidRPr="00C3465B">
              <w:rPr>
                <w:sz w:val="28"/>
                <w:szCs w:val="28"/>
                <w:lang w:val="uk-UA"/>
              </w:rPr>
              <w:t>Заміна електрики та підлогового покриття в кабінетах ЦОП</w:t>
            </w:r>
          </w:p>
        </w:tc>
        <w:tc>
          <w:tcPr>
            <w:tcW w:w="746" w:type="dxa"/>
            <w:tcBorders>
              <w:top w:val="nil"/>
              <w:left w:val="nil"/>
              <w:bottom w:val="single" w:sz="4" w:space="0" w:color="auto"/>
              <w:right w:val="single" w:sz="4" w:space="0" w:color="auto"/>
            </w:tcBorders>
            <w:noWrap/>
            <w:vAlign w:val="bottom"/>
          </w:tcPr>
          <w:p w:rsidR="00973498" w:rsidRPr="00C3465B" w:rsidRDefault="00973498" w:rsidP="00973498">
            <w:pPr>
              <w:rPr>
                <w:sz w:val="28"/>
                <w:szCs w:val="28"/>
                <w:lang w:val="uk-UA"/>
              </w:rPr>
            </w:pPr>
            <w:r w:rsidRPr="00C3465B">
              <w:rPr>
                <w:sz w:val="28"/>
                <w:szCs w:val="28"/>
                <w:lang w:val="uk-UA"/>
              </w:rPr>
              <w:t>-</w:t>
            </w:r>
          </w:p>
        </w:tc>
        <w:tc>
          <w:tcPr>
            <w:tcW w:w="799" w:type="dxa"/>
            <w:tcBorders>
              <w:top w:val="nil"/>
              <w:left w:val="nil"/>
              <w:bottom w:val="single" w:sz="4" w:space="0" w:color="auto"/>
              <w:right w:val="single" w:sz="4" w:space="0" w:color="auto"/>
            </w:tcBorders>
            <w:noWrap/>
            <w:vAlign w:val="bottom"/>
          </w:tcPr>
          <w:p w:rsidR="00973498" w:rsidRPr="00C3465B" w:rsidRDefault="00973498" w:rsidP="00973498">
            <w:pPr>
              <w:jc w:val="right"/>
              <w:rPr>
                <w:sz w:val="28"/>
                <w:szCs w:val="28"/>
              </w:rPr>
            </w:pPr>
            <w:r w:rsidRPr="00C3465B">
              <w:rPr>
                <w:sz w:val="28"/>
                <w:szCs w:val="28"/>
                <w:lang w:val="uk-UA"/>
              </w:rPr>
              <w:t>4</w:t>
            </w:r>
          </w:p>
        </w:tc>
        <w:tc>
          <w:tcPr>
            <w:tcW w:w="1133" w:type="dxa"/>
            <w:tcBorders>
              <w:top w:val="nil"/>
              <w:left w:val="nil"/>
              <w:bottom w:val="single" w:sz="4" w:space="0" w:color="auto"/>
              <w:right w:val="single" w:sz="4" w:space="0" w:color="auto"/>
            </w:tcBorders>
            <w:noWrap/>
            <w:vAlign w:val="bottom"/>
          </w:tcPr>
          <w:p w:rsidR="00973498" w:rsidRPr="00C3465B" w:rsidRDefault="00973498" w:rsidP="00973498">
            <w:pPr>
              <w:jc w:val="right"/>
              <w:rPr>
                <w:sz w:val="28"/>
                <w:szCs w:val="28"/>
                <w:lang w:val="uk-UA"/>
              </w:rPr>
            </w:pPr>
            <w:r w:rsidRPr="00C3465B">
              <w:rPr>
                <w:sz w:val="28"/>
                <w:szCs w:val="28"/>
                <w:lang w:val="uk-UA"/>
              </w:rPr>
              <w:t>-</w:t>
            </w:r>
          </w:p>
        </w:tc>
        <w:tc>
          <w:tcPr>
            <w:tcW w:w="1642" w:type="dxa"/>
            <w:tcBorders>
              <w:top w:val="nil"/>
              <w:left w:val="nil"/>
              <w:bottom w:val="single" w:sz="4" w:space="0" w:color="auto"/>
              <w:right w:val="single" w:sz="4" w:space="0" w:color="auto"/>
            </w:tcBorders>
            <w:noWrap/>
            <w:vAlign w:val="bottom"/>
          </w:tcPr>
          <w:p w:rsidR="00973498" w:rsidRPr="00C3465B" w:rsidRDefault="00973498" w:rsidP="00973498">
            <w:pPr>
              <w:jc w:val="right"/>
              <w:rPr>
                <w:sz w:val="28"/>
                <w:szCs w:val="28"/>
                <w:lang w:val="uk-UA"/>
              </w:rPr>
            </w:pPr>
            <w:r w:rsidRPr="00C3465B">
              <w:rPr>
                <w:sz w:val="28"/>
                <w:szCs w:val="28"/>
                <w:lang w:val="uk-UA"/>
              </w:rPr>
              <w:t>44000,00</w:t>
            </w:r>
          </w:p>
        </w:tc>
      </w:tr>
      <w:tr w:rsidR="00973498" w:rsidRPr="00C3465B" w:rsidTr="00973498">
        <w:trPr>
          <w:trHeight w:val="300"/>
        </w:trPr>
        <w:tc>
          <w:tcPr>
            <w:tcW w:w="594" w:type="dxa"/>
            <w:tcBorders>
              <w:top w:val="nil"/>
              <w:left w:val="single" w:sz="4" w:space="0" w:color="auto"/>
              <w:bottom w:val="single" w:sz="4" w:space="0" w:color="auto"/>
              <w:right w:val="single" w:sz="4" w:space="0" w:color="auto"/>
            </w:tcBorders>
            <w:noWrap/>
            <w:vAlign w:val="bottom"/>
          </w:tcPr>
          <w:p w:rsidR="00973498" w:rsidRPr="00C3465B" w:rsidRDefault="00973498" w:rsidP="00973498">
            <w:pPr>
              <w:rPr>
                <w:sz w:val="28"/>
                <w:szCs w:val="28"/>
                <w:lang w:val="uk-UA"/>
              </w:rPr>
            </w:pPr>
            <w:r w:rsidRPr="00C3465B">
              <w:rPr>
                <w:sz w:val="28"/>
                <w:szCs w:val="28"/>
                <w:lang w:val="uk-UA"/>
              </w:rPr>
              <w:t xml:space="preserve">4     </w:t>
            </w:r>
          </w:p>
        </w:tc>
        <w:tc>
          <w:tcPr>
            <w:tcW w:w="5001" w:type="dxa"/>
            <w:tcBorders>
              <w:top w:val="nil"/>
              <w:left w:val="nil"/>
              <w:bottom w:val="single" w:sz="4" w:space="0" w:color="auto"/>
              <w:right w:val="single" w:sz="4" w:space="0" w:color="auto"/>
            </w:tcBorders>
            <w:noWrap/>
            <w:vAlign w:val="bottom"/>
          </w:tcPr>
          <w:p w:rsidR="00973498" w:rsidRPr="00C3465B" w:rsidRDefault="00973498" w:rsidP="00973498">
            <w:pPr>
              <w:rPr>
                <w:sz w:val="28"/>
                <w:szCs w:val="28"/>
                <w:lang w:val="uk-UA"/>
              </w:rPr>
            </w:pPr>
            <w:r w:rsidRPr="00C3465B">
              <w:rPr>
                <w:sz w:val="28"/>
                <w:szCs w:val="28"/>
                <w:lang w:val="uk-UA"/>
              </w:rPr>
              <w:t>Комплект меблів</w:t>
            </w:r>
          </w:p>
        </w:tc>
        <w:tc>
          <w:tcPr>
            <w:tcW w:w="746" w:type="dxa"/>
            <w:tcBorders>
              <w:top w:val="nil"/>
              <w:left w:val="nil"/>
              <w:bottom w:val="single" w:sz="4" w:space="0" w:color="auto"/>
              <w:right w:val="single" w:sz="4" w:space="0" w:color="auto"/>
            </w:tcBorders>
            <w:noWrap/>
            <w:vAlign w:val="bottom"/>
          </w:tcPr>
          <w:p w:rsidR="00973498" w:rsidRPr="00C3465B" w:rsidRDefault="00973498" w:rsidP="00973498">
            <w:pPr>
              <w:rPr>
                <w:sz w:val="28"/>
                <w:szCs w:val="28"/>
                <w:lang w:val="uk-UA"/>
              </w:rPr>
            </w:pPr>
            <w:r w:rsidRPr="00C3465B">
              <w:rPr>
                <w:sz w:val="28"/>
                <w:szCs w:val="28"/>
                <w:lang w:val="uk-UA"/>
              </w:rPr>
              <w:t>шт.</w:t>
            </w:r>
          </w:p>
        </w:tc>
        <w:tc>
          <w:tcPr>
            <w:tcW w:w="799" w:type="dxa"/>
            <w:tcBorders>
              <w:top w:val="nil"/>
              <w:left w:val="nil"/>
              <w:bottom w:val="single" w:sz="4" w:space="0" w:color="auto"/>
              <w:right w:val="single" w:sz="4" w:space="0" w:color="auto"/>
            </w:tcBorders>
            <w:noWrap/>
            <w:vAlign w:val="bottom"/>
          </w:tcPr>
          <w:p w:rsidR="00973498" w:rsidRPr="00C3465B" w:rsidRDefault="00973498" w:rsidP="00973498">
            <w:pPr>
              <w:rPr>
                <w:sz w:val="28"/>
                <w:szCs w:val="28"/>
                <w:lang w:val="uk-UA"/>
              </w:rPr>
            </w:pPr>
            <w:r w:rsidRPr="00C3465B">
              <w:rPr>
                <w:sz w:val="28"/>
                <w:szCs w:val="28"/>
                <w:lang w:val="uk-UA"/>
              </w:rPr>
              <w:t xml:space="preserve">      5</w:t>
            </w:r>
          </w:p>
        </w:tc>
        <w:tc>
          <w:tcPr>
            <w:tcW w:w="1133" w:type="dxa"/>
            <w:tcBorders>
              <w:top w:val="nil"/>
              <w:left w:val="nil"/>
              <w:bottom w:val="single" w:sz="4" w:space="0" w:color="auto"/>
              <w:right w:val="single" w:sz="4" w:space="0" w:color="auto"/>
            </w:tcBorders>
            <w:noWrap/>
            <w:vAlign w:val="bottom"/>
          </w:tcPr>
          <w:p w:rsidR="00973498" w:rsidRPr="00C3465B" w:rsidRDefault="00973498" w:rsidP="00973498">
            <w:pPr>
              <w:rPr>
                <w:sz w:val="28"/>
                <w:szCs w:val="28"/>
                <w:lang w:val="uk-UA"/>
              </w:rPr>
            </w:pPr>
            <w:r w:rsidRPr="00C3465B">
              <w:rPr>
                <w:sz w:val="28"/>
                <w:szCs w:val="28"/>
                <w:lang w:val="uk-UA"/>
              </w:rPr>
              <w:t xml:space="preserve"> 6400,00</w:t>
            </w:r>
          </w:p>
        </w:tc>
        <w:tc>
          <w:tcPr>
            <w:tcW w:w="1642" w:type="dxa"/>
            <w:tcBorders>
              <w:top w:val="nil"/>
              <w:left w:val="nil"/>
              <w:bottom w:val="single" w:sz="4" w:space="0" w:color="auto"/>
              <w:right w:val="single" w:sz="4" w:space="0" w:color="auto"/>
            </w:tcBorders>
            <w:noWrap/>
            <w:vAlign w:val="bottom"/>
          </w:tcPr>
          <w:p w:rsidR="00973498" w:rsidRPr="00C3465B" w:rsidRDefault="00973498" w:rsidP="00973498">
            <w:pPr>
              <w:jc w:val="right"/>
              <w:rPr>
                <w:sz w:val="28"/>
                <w:szCs w:val="28"/>
                <w:lang w:val="uk-UA"/>
              </w:rPr>
            </w:pPr>
            <w:r w:rsidRPr="00C3465B">
              <w:rPr>
                <w:sz w:val="28"/>
                <w:szCs w:val="28"/>
                <w:lang w:val="uk-UA"/>
              </w:rPr>
              <w:t>32000,00</w:t>
            </w:r>
          </w:p>
        </w:tc>
      </w:tr>
      <w:tr w:rsidR="00973498" w:rsidRPr="00C3465B" w:rsidTr="00973498">
        <w:trPr>
          <w:trHeight w:val="300"/>
        </w:trPr>
        <w:tc>
          <w:tcPr>
            <w:tcW w:w="594" w:type="dxa"/>
            <w:tcBorders>
              <w:top w:val="nil"/>
              <w:left w:val="single" w:sz="4" w:space="0" w:color="auto"/>
              <w:bottom w:val="single" w:sz="4" w:space="0" w:color="auto"/>
              <w:right w:val="single" w:sz="4" w:space="0" w:color="auto"/>
            </w:tcBorders>
            <w:noWrap/>
            <w:vAlign w:val="bottom"/>
          </w:tcPr>
          <w:p w:rsidR="00973498" w:rsidRPr="00C3465B" w:rsidRDefault="00973498" w:rsidP="00973498">
            <w:pPr>
              <w:rPr>
                <w:sz w:val="28"/>
                <w:szCs w:val="28"/>
              </w:rPr>
            </w:pPr>
            <w:r w:rsidRPr="00C3465B">
              <w:rPr>
                <w:sz w:val="28"/>
                <w:szCs w:val="28"/>
              </w:rPr>
              <w:t> </w:t>
            </w:r>
          </w:p>
        </w:tc>
        <w:tc>
          <w:tcPr>
            <w:tcW w:w="5001" w:type="dxa"/>
            <w:tcBorders>
              <w:top w:val="nil"/>
              <w:left w:val="nil"/>
              <w:bottom w:val="single" w:sz="4" w:space="0" w:color="auto"/>
              <w:right w:val="single" w:sz="4" w:space="0" w:color="auto"/>
            </w:tcBorders>
            <w:noWrap/>
            <w:vAlign w:val="bottom"/>
          </w:tcPr>
          <w:p w:rsidR="00973498" w:rsidRPr="00C3465B" w:rsidRDefault="00973498" w:rsidP="00973498">
            <w:pPr>
              <w:rPr>
                <w:sz w:val="28"/>
                <w:szCs w:val="28"/>
                <w:lang w:val="uk-UA"/>
              </w:rPr>
            </w:pPr>
            <w:r w:rsidRPr="00C3465B">
              <w:rPr>
                <w:sz w:val="28"/>
                <w:szCs w:val="28"/>
              </w:rPr>
              <w:t>Разом</w:t>
            </w:r>
            <w:r w:rsidRPr="00C3465B">
              <w:rPr>
                <w:sz w:val="28"/>
                <w:szCs w:val="28"/>
                <w:lang w:val="uk-UA"/>
              </w:rPr>
              <w:t>, грн.</w:t>
            </w:r>
          </w:p>
        </w:tc>
        <w:tc>
          <w:tcPr>
            <w:tcW w:w="746" w:type="dxa"/>
            <w:tcBorders>
              <w:top w:val="nil"/>
              <w:left w:val="nil"/>
              <w:bottom w:val="single" w:sz="4" w:space="0" w:color="auto"/>
              <w:right w:val="single" w:sz="4" w:space="0" w:color="auto"/>
            </w:tcBorders>
            <w:noWrap/>
            <w:vAlign w:val="bottom"/>
          </w:tcPr>
          <w:p w:rsidR="00973498" w:rsidRPr="00C3465B" w:rsidRDefault="00973498" w:rsidP="00973498">
            <w:pPr>
              <w:rPr>
                <w:sz w:val="28"/>
                <w:szCs w:val="28"/>
              </w:rPr>
            </w:pPr>
            <w:r w:rsidRPr="00C3465B">
              <w:rPr>
                <w:sz w:val="28"/>
                <w:szCs w:val="28"/>
              </w:rPr>
              <w:t> </w:t>
            </w:r>
          </w:p>
        </w:tc>
        <w:tc>
          <w:tcPr>
            <w:tcW w:w="799" w:type="dxa"/>
            <w:tcBorders>
              <w:top w:val="nil"/>
              <w:left w:val="nil"/>
              <w:bottom w:val="single" w:sz="4" w:space="0" w:color="auto"/>
              <w:right w:val="single" w:sz="4" w:space="0" w:color="auto"/>
            </w:tcBorders>
            <w:noWrap/>
            <w:vAlign w:val="bottom"/>
          </w:tcPr>
          <w:p w:rsidR="00973498" w:rsidRPr="00C3465B" w:rsidRDefault="00973498" w:rsidP="00973498">
            <w:pPr>
              <w:rPr>
                <w:sz w:val="28"/>
                <w:szCs w:val="28"/>
              </w:rPr>
            </w:pPr>
            <w:r w:rsidRPr="00C3465B">
              <w:rPr>
                <w:sz w:val="28"/>
                <w:szCs w:val="28"/>
              </w:rPr>
              <w:t> </w:t>
            </w:r>
          </w:p>
        </w:tc>
        <w:tc>
          <w:tcPr>
            <w:tcW w:w="1133" w:type="dxa"/>
            <w:tcBorders>
              <w:top w:val="nil"/>
              <w:left w:val="nil"/>
              <w:bottom w:val="single" w:sz="4" w:space="0" w:color="auto"/>
              <w:right w:val="single" w:sz="4" w:space="0" w:color="auto"/>
            </w:tcBorders>
            <w:noWrap/>
            <w:vAlign w:val="bottom"/>
          </w:tcPr>
          <w:p w:rsidR="00973498" w:rsidRPr="00C3465B" w:rsidRDefault="00973498" w:rsidP="00973498">
            <w:pPr>
              <w:rPr>
                <w:sz w:val="28"/>
                <w:szCs w:val="28"/>
              </w:rPr>
            </w:pPr>
            <w:r w:rsidRPr="00C3465B">
              <w:rPr>
                <w:sz w:val="28"/>
                <w:szCs w:val="28"/>
              </w:rPr>
              <w:t> </w:t>
            </w:r>
          </w:p>
        </w:tc>
        <w:tc>
          <w:tcPr>
            <w:tcW w:w="1642" w:type="dxa"/>
            <w:tcBorders>
              <w:top w:val="nil"/>
              <w:left w:val="nil"/>
              <w:bottom w:val="single" w:sz="4" w:space="0" w:color="auto"/>
              <w:right w:val="single" w:sz="4" w:space="0" w:color="auto"/>
            </w:tcBorders>
            <w:noWrap/>
            <w:vAlign w:val="bottom"/>
          </w:tcPr>
          <w:p w:rsidR="00973498" w:rsidRPr="00C3465B" w:rsidRDefault="00973498" w:rsidP="00973498">
            <w:pPr>
              <w:jc w:val="right"/>
              <w:rPr>
                <w:sz w:val="28"/>
                <w:szCs w:val="28"/>
              </w:rPr>
            </w:pPr>
            <w:r w:rsidRPr="00C3465B">
              <w:rPr>
                <w:sz w:val="28"/>
                <w:szCs w:val="28"/>
              </w:rPr>
              <w:t>1</w:t>
            </w:r>
            <w:r w:rsidRPr="00C3465B">
              <w:rPr>
                <w:sz w:val="28"/>
                <w:szCs w:val="28"/>
                <w:lang w:val="uk-UA"/>
              </w:rPr>
              <w:t>38000</w:t>
            </w:r>
          </w:p>
        </w:tc>
      </w:tr>
    </w:tbl>
    <w:p w:rsidR="00973498" w:rsidRDefault="00973498" w:rsidP="00973498">
      <w:pPr>
        <w:spacing w:line="20" w:lineRule="atLeast"/>
        <w:ind w:firstLine="709"/>
        <w:jc w:val="both"/>
        <w:rPr>
          <w:sz w:val="27"/>
          <w:szCs w:val="27"/>
          <w:lang w:val="en-US"/>
        </w:rPr>
      </w:pPr>
    </w:p>
    <w:p w:rsidR="00973498" w:rsidRDefault="00973498" w:rsidP="00973498">
      <w:pPr>
        <w:spacing w:line="20" w:lineRule="atLeast"/>
        <w:ind w:firstLine="709"/>
        <w:jc w:val="both"/>
        <w:rPr>
          <w:sz w:val="27"/>
          <w:szCs w:val="27"/>
          <w:lang w:val="uk-UA"/>
        </w:rPr>
      </w:pPr>
    </w:p>
    <w:p w:rsidR="00973498" w:rsidRPr="00A03F99" w:rsidRDefault="00973498" w:rsidP="00973498">
      <w:pPr>
        <w:widowControl w:val="0"/>
        <w:ind w:firstLine="709"/>
        <w:jc w:val="both"/>
        <w:rPr>
          <w:sz w:val="27"/>
          <w:szCs w:val="27"/>
          <w:lang w:val="uk-UA"/>
        </w:rPr>
      </w:pPr>
      <w:r>
        <w:rPr>
          <w:bCs/>
          <w:sz w:val="27"/>
          <w:szCs w:val="27"/>
          <w:lang w:val="uk-UA"/>
        </w:rPr>
        <w:t>Таким чином, п</w:t>
      </w:r>
      <w:r w:rsidRPr="00A03F99">
        <w:rPr>
          <w:bCs/>
          <w:sz w:val="27"/>
          <w:szCs w:val="27"/>
          <w:lang w:val="uk-UA"/>
        </w:rPr>
        <w:t xml:space="preserve">рограмне фінансування 2016 – 2017 рр. у передбаченому обсязі використано на матеріально-технічне оснащення </w:t>
      </w:r>
      <w:r w:rsidRPr="001C1995">
        <w:rPr>
          <w:sz w:val="27"/>
          <w:szCs w:val="27"/>
          <w:lang w:val="uk-UA"/>
        </w:rPr>
        <w:t>центру обслуговування платників (далі – ЦОП)</w:t>
      </w:r>
      <w:r>
        <w:rPr>
          <w:sz w:val="27"/>
          <w:szCs w:val="27"/>
          <w:lang w:val="uk-UA"/>
        </w:rPr>
        <w:t xml:space="preserve"> </w:t>
      </w:r>
      <w:r w:rsidRPr="00A03F99">
        <w:rPr>
          <w:bCs/>
          <w:sz w:val="27"/>
          <w:szCs w:val="27"/>
          <w:lang w:val="uk-UA"/>
        </w:rPr>
        <w:t xml:space="preserve"> Чернівецької ОДПІ, що дало змогу удосконалити  механізм надання населенню широкого спектру адміністративних та інформаційних послуг з роз’яснення податкової політики та підвищення рівня добровільної і </w:t>
      </w:r>
      <w:r>
        <w:rPr>
          <w:bCs/>
          <w:sz w:val="27"/>
          <w:szCs w:val="27"/>
          <w:lang w:val="uk-UA"/>
        </w:rPr>
        <w:t>сумлінної сплати податків та</w:t>
      </w:r>
      <w:r w:rsidRPr="00A03F99">
        <w:rPr>
          <w:bCs/>
          <w:sz w:val="27"/>
          <w:szCs w:val="27"/>
          <w:lang w:val="uk-UA"/>
        </w:rPr>
        <w:t xml:space="preserve"> в свою чергу сприяє форму</w:t>
      </w:r>
      <w:r w:rsidRPr="00A03F99">
        <w:rPr>
          <w:sz w:val="27"/>
          <w:szCs w:val="27"/>
          <w:lang w:val="uk-UA"/>
        </w:rPr>
        <w:t>ванню високої податкової культури платників податків, розвитку підприємництва</w:t>
      </w:r>
      <w:r w:rsidRPr="00A03F99">
        <w:rPr>
          <w:bCs/>
          <w:sz w:val="27"/>
          <w:szCs w:val="27"/>
          <w:lang w:val="uk-UA"/>
        </w:rPr>
        <w:t xml:space="preserve">, а також </w:t>
      </w:r>
      <w:r w:rsidRPr="00A03F99">
        <w:rPr>
          <w:sz w:val="27"/>
          <w:szCs w:val="27"/>
          <w:lang w:val="uk-UA"/>
        </w:rPr>
        <w:t>забезпеченню стабільного і ритмічного наповнення бюджетів усіх рівнів.</w:t>
      </w:r>
    </w:p>
    <w:p w:rsidR="00973498" w:rsidRPr="0049714B" w:rsidRDefault="00973498" w:rsidP="00973498">
      <w:pPr>
        <w:spacing w:line="20" w:lineRule="atLeast"/>
        <w:ind w:firstLine="709"/>
        <w:jc w:val="both"/>
        <w:rPr>
          <w:sz w:val="27"/>
          <w:szCs w:val="27"/>
          <w:lang w:val="uk-UA"/>
        </w:rPr>
      </w:pPr>
      <w:r>
        <w:rPr>
          <w:sz w:val="27"/>
          <w:szCs w:val="27"/>
          <w:lang w:val="uk-UA"/>
        </w:rPr>
        <w:t xml:space="preserve">Вказані придбання </w:t>
      </w:r>
      <w:r w:rsidRPr="0049714B">
        <w:rPr>
          <w:sz w:val="27"/>
          <w:szCs w:val="27"/>
          <w:lang w:val="uk-UA"/>
        </w:rPr>
        <w:t>дал</w:t>
      </w:r>
      <w:r>
        <w:rPr>
          <w:sz w:val="27"/>
          <w:szCs w:val="27"/>
          <w:lang w:val="uk-UA"/>
        </w:rPr>
        <w:t>и</w:t>
      </w:r>
      <w:r w:rsidRPr="0049714B">
        <w:rPr>
          <w:sz w:val="27"/>
          <w:szCs w:val="27"/>
          <w:lang w:val="uk-UA"/>
        </w:rPr>
        <w:t xml:space="preserve"> змогу частково забезпечити виконання головних напрямків програми, а саме:</w:t>
      </w:r>
    </w:p>
    <w:p w:rsidR="00973498" w:rsidRPr="005B5EBE" w:rsidRDefault="00973498" w:rsidP="00973498">
      <w:pPr>
        <w:tabs>
          <w:tab w:val="num" w:pos="561"/>
        </w:tabs>
        <w:spacing w:line="20" w:lineRule="atLeast"/>
        <w:ind w:firstLine="709"/>
        <w:jc w:val="both"/>
        <w:rPr>
          <w:sz w:val="27"/>
          <w:szCs w:val="27"/>
          <w:lang w:val="uk-UA"/>
        </w:rPr>
      </w:pPr>
    </w:p>
    <w:p w:rsidR="00973498" w:rsidRDefault="00973498" w:rsidP="00973498">
      <w:pPr>
        <w:numPr>
          <w:ilvl w:val="0"/>
          <w:numId w:val="1"/>
        </w:numPr>
        <w:spacing w:line="20" w:lineRule="atLeast"/>
        <w:jc w:val="both"/>
        <w:rPr>
          <w:sz w:val="27"/>
          <w:szCs w:val="27"/>
          <w:lang w:val="uk-UA"/>
        </w:rPr>
      </w:pPr>
      <w:r w:rsidRPr="005B5EBE">
        <w:rPr>
          <w:sz w:val="27"/>
          <w:szCs w:val="27"/>
          <w:lang w:val="uk-UA"/>
        </w:rPr>
        <w:t>Покращення обслуговування платників (вдосконалення сервісних центрів), формування високої податкової культури платників податків з метою сприяння розвитку підприємництва.</w:t>
      </w:r>
    </w:p>
    <w:p w:rsidR="00973498" w:rsidRDefault="00973498" w:rsidP="00973498">
      <w:pPr>
        <w:numPr>
          <w:ilvl w:val="0"/>
          <w:numId w:val="1"/>
        </w:numPr>
        <w:tabs>
          <w:tab w:val="num" w:pos="561"/>
        </w:tabs>
        <w:spacing w:line="20" w:lineRule="atLeast"/>
        <w:jc w:val="both"/>
        <w:rPr>
          <w:sz w:val="27"/>
          <w:szCs w:val="27"/>
          <w:lang w:val="uk-UA"/>
        </w:rPr>
      </w:pPr>
      <w:r w:rsidRPr="005B5EBE">
        <w:rPr>
          <w:sz w:val="27"/>
          <w:szCs w:val="27"/>
          <w:lang w:val="uk-UA"/>
        </w:rPr>
        <w:t>Підвищення рівня добровільної сплати податків та забезпечення стабільного і ритмічного наповнення бюджетів.</w:t>
      </w:r>
    </w:p>
    <w:p w:rsidR="00973498" w:rsidRDefault="00973498" w:rsidP="00973498">
      <w:pPr>
        <w:numPr>
          <w:ilvl w:val="0"/>
          <w:numId w:val="1"/>
        </w:numPr>
        <w:tabs>
          <w:tab w:val="num" w:pos="561"/>
        </w:tabs>
        <w:spacing w:line="20" w:lineRule="atLeast"/>
        <w:jc w:val="both"/>
        <w:rPr>
          <w:sz w:val="27"/>
          <w:szCs w:val="27"/>
          <w:lang w:val="uk-UA"/>
        </w:rPr>
      </w:pPr>
      <w:r w:rsidRPr="005B5EBE">
        <w:rPr>
          <w:sz w:val="27"/>
          <w:szCs w:val="27"/>
          <w:lang w:val="uk-UA"/>
        </w:rPr>
        <w:t xml:space="preserve">Удосконалення системи адміністрування податків і зборів. </w:t>
      </w:r>
    </w:p>
    <w:p w:rsidR="00973498" w:rsidRDefault="00973498" w:rsidP="00973498">
      <w:pPr>
        <w:numPr>
          <w:ilvl w:val="0"/>
          <w:numId w:val="1"/>
        </w:numPr>
        <w:tabs>
          <w:tab w:val="num" w:pos="561"/>
        </w:tabs>
        <w:spacing w:line="20" w:lineRule="atLeast"/>
        <w:jc w:val="both"/>
        <w:rPr>
          <w:sz w:val="27"/>
          <w:szCs w:val="27"/>
          <w:lang w:val="uk-UA"/>
        </w:rPr>
      </w:pPr>
      <w:r w:rsidRPr="005B5EBE">
        <w:rPr>
          <w:sz w:val="27"/>
          <w:szCs w:val="27"/>
          <w:lang w:val="uk-UA"/>
        </w:rPr>
        <w:t>Запровадження електронних сервісів обслуговування платників податків.</w:t>
      </w:r>
    </w:p>
    <w:p w:rsidR="00973498" w:rsidRDefault="00973498" w:rsidP="00973498">
      <w:pPr>
        <w:numPr>
          <w:ilvl w:val="0"/>
          <w:numId w:val="1"/>
        </w:numPr>
        <w:tabs>
          <w:tab w:val="num" w:pos="561"/>
        </w:tabs>
        <w:spacing w:line="20" w:lineRule="atLeast"/>
        <w:jc w:val="both"/>
        <w:rPr>
          <w:sz w:val="27"/>
          <w:szCs w:val="27"/>
          <w:lang w:val="uk-UA"/>
        </w:rPr>
      </w:pPr>
      <w:r w:rsidRPr="005B5EBE">
        <w:rPr>
          <w:sz w:val="27"/>
          <w:szCs w:val="27"/>
          <w:lang w:val="uk-UA"/>
        </w:rPr>
        <w:t>Підвищення податкової культури і її пропаганди серед усіх учасників податкового процесу.</w:t>
      </w:r>
    </w:p>
    <w:p w:rsidR="00973498" w:rsidRPr="005B5EBE" w:rsidRDefault="00973498" w:rsidP="00973498">
      <w:pPr>
        <w:numPr>
          <w:ilvl w:val="0"/>
          <w:numId w:val="1"/>
        </w:numPr>
        <w:tabs>
          <w:tab w:val="num" w:pos="561"/>
        </w:tabs>
        <w:spacing w:line="20" w:lineRule="atLeast"/>
        <w:jc w:val="both"/>
        <w:rPr>
          <w:sz w:val="27"/>
          <w:szCs w:val="27"/>
          <w:lang w:val="uk-UA"/>
        </w:rPr>
      </w:pPr>
      <w:r w:rsidRPr="005B5EBE">
        <w:rPr>
          <w:sz w:val="27"/>
          <w:szCs w:val="27"/>
          <w:lang w:val="uk-UA"/>
        </w:rPr>
        <w:t>Забезпечення взаємодії органів виконавчої влади та органів місцевого самоврядування з податковою інспекцією.</w:t>
      </w:r>
    </w:p>
    <w:p w:rsidR="00973498" w:rsidRPr="00354991" w:rsidRDefault="00973498" w:rsidP="00973498">
      <w:pPr>
        <w:pStyle w:val="ListParagraph"/>
        <w:widowControl w:val="0"/>
        <w:spacing w:after="0" w:line="20" w:lineRule="atLeast"/>
        <w:rPr>
          <w:rFonts w:ascii="Times New Roman" w:hAnsi="Times New Roman" w:cs="Times New Roman"/>
          <w:b/>
          <w:sz w:val="27"/>
          <w:szCs w:val="27"/>
          <w:lang w:val="uk-UA"/>
        </w:rPr>
      </w:pPr>
    </w:p>
    <w:p w:rsidR="00973498" w:rsidRPr="009D30B7" w:rsidRDefault="00973498" w:rsidP="00973498">
      <w:pPr>
        <w:pStyle w:val="ListParagraph"/>
        <w:spacing w:after="0" w:line="20" w:lineRule="atLeast"/>
        <w:ind w:left="0" w:firstLine="709"/>
        <w:jc w:val="both"/>
        <w:rPr>
          <w:rFonts w:ascii="Times New Roman" w:hAnsi="Times New Roman" w:cs="Times New Roman"/>
          <w:bCs/>
          <w:sz w:val="27"/>
          <w:szCs w:val="27"/>
          <w:lang w:val="uk-UA"/>
        </w:rPr>
      </w:pPr>
      <w:r w:rsidRPr="009D30B7">
        <w:rPr>
          <w:rFonts w:ascii="Times New Roman" w:hAnsi="Times New Roman" w:cs="Times New Roman"/>
          <w:bCs/>
          <w:sz w:val="27"/>
          <w:szCs w:val="27"/>
          <w:lang w:val="uk-UA"/>
        </w:rPr>
        <w:t>Завдяки цьому, у м.Чернівці на базі податкової інспекції  забезпечено належне функціонування ЦОП, в якому платники міста можуть безкоштовно отрима</w:t>
      </w:r>
      <w:r>
        <w:rPr>
          <w:rFonts w:ascii="Times New Roman" w:hAnsi="Times New Roman" w:cs="Times New Roman"/>
          <w:bCs/>
          <w:sz w:val="27"/>
          <w:szCs w:val="27"/>
        </w:rPr>
        <w:t>т</w:t>
      </w:r>
      <w:r w:rsidRPr="009D30B7">
        <w:rPr>
          <w:rFonts w:ascii="Times New Roman" w:hAnsi="Times New Roman" w:cs="Times New Roman"/>
          <w:bCs/>
          <w:sz w:val="27"/>
          <w:szCs w:val="27"/>
          <w:lang w:val="uk-UA"/>
        </w:rPr>
        <w:t>и  17 видів адміністративних послуг. Так, відповідно до ст.8 Закону України «Про адміністративні послуги» за  2017 рік в ЦОП м.Чернівці надано біля 47 тисяч адміністративних послуг платникам податків, за 9 місяців 2018 року – понад 27 тисяч. Однією із найбільш затребуваних адміністративних послуг є видача картки платника податків та внесення до па</w:t>
      </w:r>
      <w:smartTag w:uri="urn:schemas-microsoft-com:office:smarttags" w:element="PersonName">
        <w:r w:rsidRPr="009D30B7">
          <w:rPr>
            <w:rFonts w:ascii="Times New Roman" w:hAnsi="Times New Roman" w:cs="Times New Roman"/>
            <w:bCs/>
            <w:sz w:val="27"/>
            <w:szCs w:val="27"/>
            <w:lang w:val="uk-UA"/>
          </w:rPr>
          <w:t>спорт</w:t>
        </w:r>
      </w:smartTag>
      <w:r w:rsidRPr="009D30B7">
        <w:rPr>
          <w:rFonts w:ascii="Times New Roman" w:hAnsi="Times New Roman" w:cs="Times New Roman"/>
          <w:bCs/>
          <w:sz w:val="27"/>
          <w:szCs w:val="27"/>
          <w:lang w:val="uk-UA"/>
        </w:rPr>
        <w:t xml:space="preserve">а громадянина України даних про реєстраційний номер облікової картки платника податків з Державного </w:t>
      </w:r>
      <w:r w:rsidRPr="009D30B7">
        <w:rPr>
          <w:rFonts w:ascii="Times New Roman" w:hAnsi="Times New Roman" w:cs="Times New Roman"/>
          <w:bCs/>
          <w:sz w:val="27"/>
          <w:szCs w:val="27"/>
          <w:lang w:val="uk-UA"/>
        </w:rPr>
        <w:lastRenderedPageBreak/>
        <w:t xml:space="preserve">реєстру фізичних осіб - платників податків. Так, упродовж </w:t>
      </w:r>
      <w:r>
        <w:rPr>
          <w:rFonts w:ascii="Times New Roman" w:hAnsi="Times New Roman" w:cs="Times New Roman"/>
          <w:bCs/>
          <w:sz w:val="27"/>
          <w:szCs w:val="27"/>
          <w:lang w:val="uk-UA"/>
        </w:rPr>
        <w:t>9</w:t>
      </w:r>
      <w:r w:rsidRPr="009D30B7">
        <w:rPr>
          <w:rFonts w:ascii="Times New Roman" w:hAnsi="Times New Roman" w:cs="Times New Roman"/>
          <w:bCs/>
          <w:sz w:val="27"/>
          <w:szCs w:val="27"/>
          <w:lang w:val="uk-UA"/>
        </w:rPr>
        <w:t xml:space="preserve"> місяців </w:t>
      </w:r>
      <w:r>
        <w:rPr>
          <w:rFonts w:ascii="Times New Roman" w:hAnsi="Times New Roman" w:cs="Times New Roman"/>
          <w:bCs/>
          <w:sz w:val="27"/>
          <w:szCs w:val="27"/>
          <w:lang w:val="uk-UA"/>
        </w:rPr>
        <w:t>2018</w:t>
      </w:r>
      <w:r w:rsidRPr="009D30B7">
        <w:rPr>
          <w:rFonts w:ascii="Times New Roman" w:hAnsi="Times New Roman" w:cs="Times New Roman"/>
          <w:bCs/>
          <w:sz w:val="27"/>
          <w:szCs w:val="27"/>
          <w:lang w:val="uk-UA"/>
        </w:rPr>
        <w:t xml:space="preserve"> року в ЦОП Чернівецької ОДПІ реєстраційний номер облікової картки платника податків отрима</w:t>
      </w:r>
      <w:r>
        <w:rPr>
          <w:rFonts w:ascii="Times New Roman" w:hAnsi="Times New Roman" w:cs="Times New Roman"/>
          <w:bCs/>
          <w:sz w:val="27"/>
          <w:szCs w:val="27"/>
          <w:lang w:val="uk-UA"/>
        </w:rPr>
        <w:t>в</w:t>
      </w:r>
      <w:r w:rsidRPr="009D30B7">
        <w:rPr>
          <w:rFonts w:ascii="Times New Roman" w:hAnsi="Times New Roman" w:cs="Times New Roman"/>
          <w:bCs/>
          <w:sz w:val="27"/>
          <w:szCs w:val="27"/>
          <w:lang w:val="uk-UA"/>
        </w:rPr>
        <w:t xml:space="preserve"> 10051 громадянин, що на  2004, або майже на 25 відсотків більше, ніж торік. </w:t>
      </w:r>
      <w:r>
        <w:rPr>
          <w:rFonts w:ascii="Times New Roman" w:hAnsi="Times New Roman" w:cs="Times New Roman"/>
          <w:bCs/>
          <w:sz w:val="27"/>
          <w:szCs w:val="27"/>
          <w:lang w:val="uk-UA"/>
        </w:rPr>
        <w:t xml:space="preserve">Окрім цього, у 2018 році до переліку адміністративних послуг, що надають ЦОП фіскальної служби увійшла послуга щодо отримання відомостей із Державного реєстру </w:t>
      </w:r>
      <w:r w:rsidRPr="009D30B7">
        <w:rPr>
          <w:rFonts w:ascii="Times New Roman" w:hAnsi="Times New Roman" w:cs="Times New Roman"/>
          <w:bCs/>
          <w:sz w:val="27"/>
          <w:szCs w:val="27"/>
          <w:lang w:val="uk-UA"/>
        </w:rPr>
        <w:t>фізичних осіб–платників податків  про суми/джерела виплачених доходів та утриманих податків</w:t>
      </w:r>
      <w:r>
        <w:rPr>
          <w:rFonts w:ascii="Times New Roman" w:hAnsi="Times New Roman" w:cs="Times New Roman"/>
          <w:bCs/>
          <w:sz w:val="27"/>
          <w:szCs w:val="27"/>
          <w:lang w:val="uk-UA"/>
        </w:rPr>
        <w:t>. Цією послугою за 9 місяців 2018 року вже скористалися 3051 мешканців нашого міста.</w:t>
      </w:r>
    </w:p>
    <w:p w:rsidR="00973498" w:rsidRPr="00CB2B85" w:rsidRDefault="00973498" w:rsidP="00973498">
      <w:pPr>
        <w:widowControl w:val="0"/>
        <w:ind w:firstLine="709"/>
        <w:jc w:val="both"/>
        <w:rPr>
          <w:bCs/>
          <w:sz w:val="27"/>
          <w:szCs w:val="27"/>
          <w:lang w:val="uk-UA"/>
        </w:rPr>
      </w:pPr>
      <w:r w:rsidRPr="00CB2B85">
        <w:rPr>
          <w:bCs/>
          <w:sz w:val="27"/>
          <w:szCs w:val="27"/>
          <w:lang w:val="uk-UA"/>
        </w:rPr>
        <w:t xml:space="preserve">Також забезпечено реалізацію процедури взяття на облік суб’єктів господарювання за один день за принципом «єдиного вікна». Станом на 01.10.2018 року на обліку в Чернівецькій ОДПІ перебуває </w:t>
      </w:r>
      <w:r w:rsidRPr="00305A59">
        <w:rPr>
          <w:bCs/>
          <w:sz w:val="27"/>
          <w:szCs w:val="27"/>
          <w:lang w:val="uk-UA"/>
        </w:rPr>
        <w:t xml:space="preserve">31070 </w:t>
      </w:r>
      <w:r w:rsidRPr="00CB2B85">
        <w:rPr>
          <w:bCs/>
          <w:sz w:val="27"/>
          <w:szCs w:val="27"/>
          <w:lang w:val="uk-UA"/>
        </w:rPr>
        <w:t>платників податків м.Чернівці.</w:t>
      </w:r>
      <w:r>
        <w:rPr>
          <w:bCs/>
          <w:sz w:val="27"/>
          <w:szCs w:val="27"/>
          <w:lang w:val="uk-UA"/>
        </w:rPr>
        <w:t xml:space="preserve"> Зокрема</w:t>
      </w:r>
      <w:r w:rsidRPr="00CB2B85">
        <w:rPr>
          <w:bCs/>
          <w:sz w:val="27"/>
          <w:szCs w:val="27"/>
          <w:lang w:val="uk-UA"/>
        </w:rPr>
        <w:t xml:space="preserve"> прослідковується тендеція до збільшення кількості новостворених суб’єктів господарювання. Тобто, якщо у 2016 році було зареєстровано 2164 суб’єктів, то у 2017 році кількість </w:t>
      </w:r>
      <w:r>
        <w:rPr>
          <w:bCs/>
          <w:sz w:val="27"/>
          <w:szCs w:val="27"/>
          <w:lang w:val="uk-UA"/>
        </w:rPr>
        <w:t>новостворених СГД сягнула 4224, за 9 місяців 2018 року -  2385 СГД.</w:t>
      </w:r>
    </w:p>
    <w:p w:rsidR="00973498" w:rsidRPr="00CB2B85" w:rsidRDefault="00973498" w:rsidP="00973498">
      <w:pPr>
        <w:widowControl w:val="0"/>
        <w:ind w:firstLine="709"/>
        <w:jc w:val="both"/>
        <w:rPr>
          <w:bCs/>
          <w:sz w:val="27"/>
          <w:szCs w:val="27"/>
          <w:lang w:val="uk-UA"/>
        </w:rPr>
      </w:pPr>
      <w:r w:rsidRPr="00CB2B85">
        <w:rPr>
          <w:bCs/>
          <w:sz w:val="27"/>
          <w:szCs w:val="27"/>
          <w:lang w:val="uk-UA"/>
        </w:rPr>
        <w:t>Слід зазначити, що за даними анкетування суб’єктів господарювання – клієнтів ЦОП, відзначені позитивні зміни в роботі  ЦОП та відвідувачі в основному задоволені якісним сервісом та обслуговуванням.</w:t>
      </w:r>
    </w:p>
    <w:p w:rsidR="00973498" w:rsidRPr="00CB2B85" w:rsidRDefault="00973498" w:rsidP="00973498">
      <w:pPr>
        <w:widowControl w:val="0"/>
        <w:ind w:firstLine="709"/>
        <w:jc w:val="both"/>
        <w:rPr>
          <w:bCs/>
          <w:sz w:val="27"/>
          <w:szCs w:val="27"/>
          <w:lang w:val="uk-UA"/>
        </w:rPr>
      </w:pPr>
      <w:r w:rsidRPr="00CB2B85">
        <w:rPr>
          <w:bCs/>
          <w:sz w:val="27"/>
          <w:szCs w:val="27"/>
          <w:lang w:val="uk-UA"/>
        </w:rPr>
        <w:t>З метою підвищення податкової культури і її пропаганди серед усіх учасників податкового процесу, Чернівецькою ОДПІ за 2017 рік проведено 86 публічних заходів.  Для ЗМІ організовано 38 прес-конференцій та брифінгів, а також 47 інтерв’ю та коментарів. У 2017 році до ЗМІ направлено 414 інформаційних матеріалів  з питань діяльності, підготовлених фахівцями органів ДФС. За звітний період проведено 2 «круглих столи», 36 зустрічей з громадськістю. Окрім цього інститутами громадянського суспільства проведено 2 заходи за участі представників Чернівецької ОДПІ. На суб-сайті єдиного веб-порталу ДФС розміщено 237 інформаційних матеріалів про діяльність Чернівецької ОДПІ. За звітний період фахівцями Чернівецької ОДПІ підготовлено 834 матеріали з питань застосування податкового, митного законодавства та єдиного внеску.  У друкованих ЗМІ  розміщено 372 матеріалів, на радіоканалах – 1073, на телеканалах – 589, в Інтернет-ЗМІ  – 4769. Також проведено 66 семінарів та практикумів для платників податків, зборів, платежів. Забезпечено проведення 33-го сеансу телефонного зв’язку „гаряча лінія”. Розповсюджено 36 вид</w:t>
      </w:r>
      <w:r>
        <w:rPr>
          <w:bCs/>
          <w:sz w:val="27"/>
          <w:szCs w:val="27"/>
          <w:lang w:val="uk-UA"/>
        </w:rPr>
        <w:t>ів</w:t>
      </w:r>
      <w:r w:rsidRPr="00CB2B85">
        <w:rPr>
          <w:bCs/>
          <w:sz w:val="27"/>
          <w:szCs w:val="27"/>
          <w:lang w:val="uk-UA"/>
        </w:rPr>
        <w:t xml:space="preserve"> друкованої продукції загальним накладом 2700 примірників. З майбутніми платниками  проведено 16  заходів</w:t>
      </w:r>
      <w:r>
        <w:rPr>
          <w:bCs/>
          <w:sz w:val="27"/>
          <w:szCs w:val="27"/>
          <w:lang w:val="uk-UA"/>
        </w:rPr>
        <w:t>.</w:t>
      </w:r>
    </w:p>
    <w:p w:rsidR="00973498" w:rsidRPr="00CB2B85" w:rsidRDefault="00973498" w:rsidP="00973498">
      <w:pPr>
        <w:widowControl w:val="0"/>
        <w:ind w:firstLine="709"/>
        <w:jc w:val="both"/>
        <w:rPr>
          <w:bCs/>
          <w:sz w:val="27"/>
          <w:szCs w:val="27"/>
          <w:lang w:val="uk-UA"/>
        </w:rPr>
      </w:pPr>
      <w:r w:rsidRPr="00095BE2">
        <w:rPr>
          <w:bCs/>
          <w:sz w:val="27"/>
          <w:szCs w:val="27"/>
          <w:lang w:val="uk-UA"/>
        </w:rPr>
        <w:t>Відповідно за 9 місяців 2018 року</w:t>
      </w:r>
      <w:r w:rsidRPr="00CB2B85">
        <w:rPr>
          <w:bCs/>
          <w:color w:val="FF0000"/>
          <w:sz w:val="27"/>
          <w:szCs w:val="27"/>
          <w:lang w:val="uk-UA"/>
        </w:rPr>
        <w:t xml:space="preserve"> </w:t>
      </w:r>
      <w:r w:rsidRPr="00CB2B85">
        <w:rPr>
          <w:bCs/>
          <w:sz w:val="27"/>
          <w:szCs w:val="27"/>
          <w:lang w:val="uk-UA"/>
        </w:rPr>
        <w:t xml:space="preserve">проведено </w:t>
      </w:r>
      <w:r>
        <w:rPr>
          <w:bCs/>
          <w:sz w:val="27"/>
          <w:szCs w:val="27"/>
          <w:lang w:val="uk-UA"/>
        </w:rPr>
        <w:t>35</w:t>
      </w:r>
      <w:r w:rsidRPr="00CB2B85">
        <w:rPr>
          <w:bCs/>
          <w:sz w:val="27"/>
          <w:szCs w:val="27"/>
          <w:lang w:val="uk-UA"/>
        </w:rPr>
        <w:t xml:space="preserve"> публічних заходів.  Для ЗМІ організовано </w:t>
      </w:r>
      <w:r>
        <w:rPr>
          <w:bCs/>
          <w:sz w:val="27"/>
          <w:szCs w:val="27"/>
          <w:lang w:val="uk-UA"/>
        </w:rPr>
        <w:t>23</w:t>
      </w:r>
      <w:r w:rsidRPr="00CB2B85">
        <w:rPr>
          <w:bCs/>
          <w:sz w:val="27"/>
          <w:szCs w:val="27"/>
          <w:lang w:val="uk-UA"/>
        </w:rPr>
        <w:t xml:space="preserve"> прес-конференці</w:t>
      </w:r>
      <w:r>
        <w:rPr>
          <w:bCs/>
          <w:sz w:val="27"/>
          <w:szCs w:val="27"/>
          <w:lang w:val="uk-UA"/>
        </w:rPr>
        <w:t>ї</w:t>
      </w:r>
      <w:r w:rsidRPr="00CB2B85">
        <w:rPr>
          <w:bCs/>
          <w:sz w:val="27"/>
          <w:szCs w:val="27"/>
          <w:lang w:val="uk-UA"/>
        </w:rPr>
        <w:t xml:space="preserve"> та брифінг</w:t>
      </w:r>
      <w:r>
        <w:rPr>
          <w:bCs/>
          <w:sz w:val="27"/>
          <w:szCs w:val="27"/>
          <w:lang w:val="uk-UA"/>
        </w:rPr>
        <w:t>и</w:t>
      </w:r>
      <w:r w:rsidRPr="00CB2B85">
        <w:rPr>
          <w:bCs/>
          <w:sz w:val="27"/>
          <w:szCs w:val="27"/>
          <w:lang w:val="uk-UA"/>
        </w:rPr>
        <w:t xml:space="preserve">, а також </w:t>
      </w:r>
      <w:r>
        <w:rPr>
          <w:bCs/>
          <w:sz w:val="27"/>
          <w:szCs w:val="27"/>
          <w:lang w:val="uk-UA"/>
        </w:rPr>
        <w:t>8</w:t>
      </w:r>
      <w:r w:rsidRPr="00CB2B85">
        <w:rPr>
          <w:bCs/>
          <w:sz w:val="27"/>
          <w:szCs w:val="27"/>
          <w:lang w:val="uk-UA"/>
        </w:rPr>
        <w:t xml:space="preserve"> інтерв’ю та коментарів. </w:t>
      </w:r>
      <w:r>
        <w:rPr>
          <w:bCs/>
          <w:sz w:val="27"/>
          <w:szCs w:val="27"/>
          <w:lang w:val="uk-UA"/>
        </w:rPr>
        <w:t>Д</w:t>
      </w:r>
      <w:r w:rsidRPr="00CB2B85">
        <w:rPr>
          <w:bCs/>
          <w:sz w:val="27"/>
          <w:szCs w:val="27"/>
          <w:lang w:val="uk-UA"/>
        </w:rPr>
        <w:t xml:space="preserve">о ЗМІ направлено </w:t>
      </w:r>
      <w:r>
        <w:rPr>
          <w:bCs/>
          <w:sz w:val="27"/>
          <w:szCs w:val="27"/>
          <w:lang w:val="uk-UA"/>
        </w:rPr>
        <w:t>277</w:t>
      </w:r>
      <w:r w:rsidRPr="00CB2B85">
        <w:rPr>
          <w:bCs/>
          <w:sz w:val="27"/>
          <w:szCs w:val="27"/>
          <w:lang w:val="uk-UA"/>
        </w:rPr>
        <w:t xml:space="preserve"> інформаційних матеріалів  з питань діяльності, підготовлених фахівцями органів ДФС. За звітний період проведено </w:t>
      </w:r>
      <w:r>
        <w:rPr>
          <w:bCs/>
          <w:sz w:val="27"/>
          <w:szCs w:val="27"/>
          <w:lang w:val="uk-UA"/>
        </w:rPr>
        <w:t xml:space="preserve">3 </w:t>
      </w:r>
      <w:r w:rsidRPr="00CB2B85">
        <w:rPr>
          <w:bCs/>
          <w:sz w:val="27"/>
          <w:szCs w:val="27"/>
          <w:lang w:val="uk-UA"/>
        </w:rPr>
        <w:t xml:space="preserve">«круглих столи», </w:t>
      </w:r>
      <w:r>
        <w:rPr>
          <w:bCs/>
          <w:sz w:val="27"/>
          <w:szCs w:val="27"/>
          <w:lang w:val="uk-UA"/>
        </w:rPr>
        <w:t>20</w:t>
      </w:r>
      <w:r w:rsidRPr="00CB2B85">
        <w:rPr>
          <w:bCs/>
          <w:sz w:val="27"/>
          <w:szCs w:val="27"/>
          <w:lang w:val="uk-UA"/>
        </w:rPr>
        <w:t xml:space="preserve"> зустрічей з громадськістю. На суб-сайті єдиного веб-порталу ДФС розміщено </w:t>
      </w:r>
      <w:r>
        <w:rPr>
          <w:bCs/>
          <w:sz w:val="27"/>
          <w:szCs w:val="27"/>
          <w:lang w:val="uk-UA"/>
        </w:rPr>
        <w:t>190</w:t>
      </w:r>
      <w:r w:rsidRPr="00CB2B85">
        <w:rPr>
          <w:bCs/>
          <w:sz w:val="27"/>
          <w:szCs w:val="27"/>
          <w:lang w:val="uk-UA"/>
        </w:rPr>
        <w:t xml:space="preserve"> інформаційних матеріалів про діяльність Чернівецької ОДПІ. За звітний період фахівцями Чернівецької ОДПІ підготовлено </w:t>
      </w:r>
      <w:r>
        <w:rPr>
          <w:bCs/>
          <w:sz w:val="27"/>
          <w:szCs w:val="27"/>
          <w:lang w:val="uk-UA"/>
        </w:rPr>
        <w:t>583</w:t>
      </w:r>
      <w:r w:rsidRPr="00CB2B85">
        <w:rPr>
          <w:bCs/>
          <w:sz w:val="27"/>
          <w:szCs w:val="27"/>
          <w:lang w:val="uk-UA"/>
        </w:rPr>
        <w:t xml:space="preserve"> матеріали з питань застосування податкового, митного законодавства та єдиного внеску.  У друкованих ЗМІ  розміщено </w:t>
      </w:r>
      <w:r>
        <w:rPr>
          <w:bCs/>
          <w:sz w:val="27"/>
          <w:szCs w:val="27"/>
          <w:lang w:val="uk-UA"/>
        </w:rPr>
        <w:t>1</w:t>
      </w:r>
      <w:r w:rsidRPr="00CB2B85">
        <w:rPr>
          <w:bCs/>
          <w:sz w:val="27"/>
          <w:szCs w:val="27"/>
          <w:lang w:val="uk-UA"/>
        </w:rPr>
        <w:t xml:space="preserve">72 матеріалів, на радіоканалах – </w:t>
      </w:r>
      <w:r>
        <w:rPr>
          <w:bCs/>
          <w:sz w:val="27"/>
          <w:szCs w:val="27"/>
          <w:lang w:val="uk-UA"/>
        </w:rPr>
        <w:t>690</w:t>
      </w:r>
      <w:r w:rsidRPr="00CB2B85">
        <w:rPr>
          <w:bCs/>
          <w:sz w:val="27"/>
          <w:szCs w:val="27"/>
          <w:lang w:val="uk-UA"/>
        </w:rPr>
        <w:t xml:space="preserve">, на телеканалах – </w:t>
      </w:r>
      <w:r>
        <w:rPr>
          <w:bCs/>
          <w:sz w:val="27"/>
          <w:szCs w:val="27"/>
          <w:lang w:val="uk-UA"/>
        </w:rPr>
        <w:t>343</w:t>
      </w:r>
      <w:r w:rsidRPr="00CB2B85">
        <w:rPr>
          <w:bCs/>
          <w:sz w:val="27"/>
          <w:szCs w:val="27"/>
          <w:lang w:val="uk-UA"/>
        </w:rPr>
        <w:t xml:space="preserve">, в Інтернет-ЗМІ  – </w:t>
      </w:r>
      <w:r>
        <w:rPr>
          <w:bCs/>
          <w:sz w:val="27"/>
          <w:szCs w:val="27"/>
          <w:lang w:val="uk-UA"/>
        </w:rPr>
        <w:t>2700</w:t>
      </w:r>
      <w:r w:rsidRPr="00CB2B85">
        <w:rPr>
          <w:bCs/>
          <w:sz w:val="27"/>
          <w:szCs w:val="27"/>
          <w:lang w:val="uk-UA"/>
        </w:rPr>
        <w:t xml:space="preserve">. Також проведено </w:t>
      </w:r>
      <w:r>
        <w:rPr>
          <w:bCs/>
          <w:sz w:val="27"/>
          <w:szCs w:val="27"/>
          <w:lang w:val="uk-UA"/>
        </w:rPr>
        <w:t>42</w:t>
      </w:r>
      <w:r w:rsidRPr="00CB2B85">
        <w:rPr>
          <w:bCs/>
          <w:sz w:val="27"/>
          <w:szCs w:val="27"/>
          <w:lang w:val="uk-UA"/>
        </w:rPr>
        <w:t xml:space="preserve"> семінарів та практикумів для платників податків, зборів, платежів. Забезпечено проведення </w:t>
      </w:r>
      <w:r>
        <w:rPr>
          <w:bCs/>
          <w:sz w:val="27"/>
          <w:szCs w:val="27"/>
          <w:lang w:val="uk-UA"/>
        </w:rPr>
        <w:t>26</w:t>
      </w:r>
      <w:r w:rsidRPr="00CB2B85">
        <w:rPr>
          <w:bCs/>
          <w:sz w:val="27"/>
          <w:szCs w:val="27"/>
          <w:lang w:val="uk-UA"/>
        </w:rPr>
        <w:t>-</w:t>
      </w:r>
      <w:r>
        <w:rPr>
          <w:bCs/>
          <w:sz w:val="27"/>
          <w:szCs w:val="27"/>
          <w:lang w:val="uk-UA"/>
        </w:rPr>
        <w:t>ти</w:t>
      </w:r>
      <w:r w:rsidRPr="00CB2B85">
        <w:rPr>
          <w:bCs/>
          <w:sz w:val="27"/>
          <w:szCs w:val="27"/>
          <w:lang w:val="uk-UA"/>
        </w:rPr>
        <w:t xml:space="preserve"> сеанс</w:t>
      </w:r>
      <w:r>
        <w:rPr>
          <w:bCs/>
          <w:sz w:val="27"/>
          <w:szCs w:val="27"/>
          <w:lang w:val="uk-UA"/>
        </w:rPr>
        <w:t>ів</w:t>
      </w:r>
      <w:r w:rsidRPr="00CB2B85">
        <w:rPr>
          <w:bCs/>
          <w:sz w:val="27"/>
          <w:szCs w:val="27"/>
          <w:lang w:val="uk-UA"/>
        </w:rPr>
        <w:t xml:space="preserve"> телефонного зв’язку „гаряча лінія”. Розповсюджено </w:t>
      </w:r>
      <w:r>
        <w:rPr>
          <w:bCs/>
          <w:sz w:val="27"/>
          <w:szCs w:val="27"/>
          <w:lang w:val="uk-UA"/>
        </w:rPr>
        <w:t>27</w:t>
      </w:r>
      <w:r w:rsidRPr="00CB2B85">
        <w:rPr>
          <w:bCs/>
          <w:sz w:val="27"/>
          <w:szCs w:val="27"/>
          <w:lang w:val="uk-UA"/>
        </w:rPr>
        <w:t xml:space="preserve"> вид</w:t>
      </w:r>
      <w:r>
        <w:rPr>
          <w:bCs/>
          <w:sz w:val="27"/>
          <w:szCs w:val="27"/>
          <w:lang w:val="uk-UA"/>
        </w:rPr>
        <w:t>ів</w:t>
      </w:r>
      <w:r w:rsidRPr="00CB2B85">
        <w:rPr>
          <w:bCs/>
          <w:sz w:val="27"/>
          <w:szCs w:val="27"/>
          <w:lang w:val="uk-UA"/>
        </w:rPr>
        <w:t xml:space="preserve"> друкованої продукції загальним накладом </w:t>
      </w:r>
      <w:r>
        <w:rPr>
          <w:bCs/>
          <w:sz w:val="27"/>
          <w:szCs w:val="27"/>
          <w:lang w:val="uk-UA"/>
        </w:rPr>
        <w:t>1430</w:t>
      </w:r>
      <w:r w:rsidRPr="00CB2B85">
        <w:rPr>
          <w:bCs/>
          <w:sz w:val="27"/>
          <w:szCs w:val="27"/>
          <w:lang w:val="uk-UA"/>
        </w:rPr>
        <w:t xml:space="preserve"> </w:t>
      </w:r>
      <w:r w:rsidRPr="00CB2B85">
        <w:rPr>
          <w:bCs/>
          <w:sz w:val="27"/>
          <w:szCs w:val="27"/>
          <w:lang w:val="uk-UA"/>
        </w:rPr>
        <w:lastRenderedPageBreak/>
        <w:t xml:space="preserve">примірників. З майбутніми платниками  проведено </w:t>
      </w:r>
      <w:r>
        <w:rPr>
          <w:bCs/>
          <w:sz w:val="27"/>
          <w:szCs w:val="27"/>
          <w:lang w:val="uk-UA"/>
        </w:rPr>
        <w:t>9</w:t>
      </w:r>
      <w:r w:rsidRPr="00CB2B85">
        <w:rPr>
          <w:bCs/>
          <w:sz w:val="27"/>
          <w:szCs w:val="27"/>
          <w:lang w:val="uk-UA"/>
        </w:rPr>
        <w:t xml:space="preserve">  заходів</w:t>
      </w:r>
      <w:r>
        <w:rPr>
          <w:bCs/>
          <w:sz w:val="27"/>
          <w:szCs w:val="27"/>
          <w:lang w:val="uk-UA"/>
        </w:rPr>
        <w:t>.</w:t>
      </w:r>
    </w:p>
    <w:p w:rsidR="00973498" w:rsidRDefault="00973498" w:rsidP="00973498">
      <w:pPr>
        <w:widowControl w:val="0"/>
        <w:ind w:firstLine="709"/>
        <w:jc w:val="both"/>
        <w:rPr>
          <w:bCs/>
          <w:sz w:val="27"/>
          <w:szCs w:val="27"/>
          <w:lang w:val="uk-UA"/>
        </w:rPr>
      </w:pPr>
      <w:r w:rsidRPr="00CB2B85">
        <w:rPr>
          <w:bCs/>
          <w:sz w:val="27"/>
          <w:szCs w:val="27"/>
          <w:lang w:val="uk-UA"/>
        </w:rPr>
        <w:t>З метою удосконалення системи адміністрування податків і зборів та запровадження електронних сервісів обслуговування платників податків, програмне фінансування заходів у 2016</w:t>
      </w:r>
      <w:r>
        <w:rPr>
          <w:bCs/>
          <w:sz w:val="27"/>
          <w:szCs w:val="27"/>
          <w:lang w:val="uk-UA"/>
        </w:rPr>
        <w:t>-2017</w:t>
      </w:r>
      <w:r w:rsidRPr="00CB2B85">
        <w:rPr>
          <w:bCs/>
          <w:sz w:val="27"/>
          <w:szCs w:val="27"/>
          <w:lang w:val="uk-UA"/>
        </w:rPr>
        <w:t xml:space="preserve"> році дозволило частково оновити інформаційно-телекомунікаційні системи Чернівецької ОДПІ, що дало змогу забезпечити  безперебійне і надійне функціонування електронних сервісів, що діють і знаходяться на обслуговуванні відомства, в тому числі «Електронний кабінет платника», «</w:t>
      </w:r>
      <w:r>
        <w:rPr>
          <w:bCs/>
          <w:sz w:val="27"/>
          <w:szCs w:val="27"/>
          <w:lang w:val="uk-UA"/>
        </w:rPr>
        <w:t>Інформація з реєстрів</w:t>
      </w:r>
      <w:r w:rsidRPr="00CB2B85">
        <w:rPr>
          <w:bCs/>
          <w:sz w:val="27"/>
          <w:szCs w:val="27"/>
          <w:lang w:val="uk-UA"/>
        </w:rPr>
        <w:t>», «Дізнайся більше про свого бізнес – партнера», «</w:t>
      </w:r>
      <w:r>
        <w:rPr>
          <w:bCs/>
          <w:sz w:val="27"/>
          <w:szCs w:val="27"/>
          <w:lang w:val="uk-UA"/>
        </w:rPr>
        <w:t>Загальнодоступний інформаційно-довідковий ресурс»</w:t>
      </w:r>
      <w:r w:rsidRPr="00CB2B85">
        <w:rPr>
          <w:bCs/>
          <w:sz w:val="27"/>
          <w:szCs w:val="27"/>
          <w:lang w:val="uk-UA"/>
        </w:rPr>
        <w:t>, «</w:t>
      </w:r>
      <w:r>
        <w:rPr>
          <w:bCs/>
          <w:sz w:val="27"/>
          <w:szCs w:val="27"/>
          <w:lang w:val="uk-UA"/>
        </w:rPr>
        <w:t>С</w:t>
      </w:r>
      <w:r w:rsidRPr="00CB2B85">
        <w:rPr>
          <w:bCs/>
          <w:sz w:val="27"/>
          <w:szCs w:val="27"/>
          <w:lang w:val="uk-UA"/>
        </w:rPr>
        <w:t>ервіс</w:t>
      </w:r>
      <w:r>
        <w:rPr>
          <w:bCs/>
          <w:sz w:val="27"/>
          <w:szCs w:val="27"/>
          <w:lang w:val="uk-UA"/>
        </w:rPr>
        <w:t xml:space="preserve"> </w:t>
      </w:r>
      <w:r w:rsidRPr="00CB2B85">
        <w:rPr>
          <w:bCs/>
          <w:sz w:val="27"/>
          <w:szCs w:val="27"/>
          <w:lang w:val="uk-UA"/>
        </w:rPr>
        <w:t>«</w:t>
      </w:r>
      <w:r>
        <w:rPr>
          <w:bCs/>
          <w:sz w:val="27"/>
          <w:szCs w:val="27"/>
          <w:lang w:val="uk-UA"/>
        </w:rPr>
        <w:t>Пульс</w:t>
      </w:r>
      <w:r w:rsidRPr="00CB2B85">
        <w:rPr>
          <w:bCs/>
          <w:sz w:val="27"/>
          <w:szCs w:val="27"/>
          <w:lang w:val="uk-UA"/>
        </w:rPr>
        <w:t xml:space="preserve">», «Декларування </w:t>
      </w:r>
      <w:r>
        <w:rPr>
          <w:bCs/>
          <w:sz w:val="27"/>
          <w:szCs w:val="27"/>
          <w:lang w:val="uk-UA"/>
        </w:rPr>
        <w:t>громадян</w:t>
      </w:r>
      <w:r w:rsidRPr="00CB2B85">
        <w:rPr>
          <w:bCs/>
          <w:sz w:val="27"/>
          <w:szCs w:val="27"/>
          <w:lang w:val="uk-UA"/>
        </w:rPr>
        <w:t>»,  «Електронна звітність»</w:t>
      </w:r>
      <w:r>
        <w:rPr>
          <w:bCs/>
          <w:sz w:val="27"/>
          <w:szCs w:val="27"/>
          <w:lang w:val="uk-UA"/>
        </w:rPr>
        <w:t>, «Реєстр індивідуальних податкових консультацій»</w:t>
      </w:r>
      <w:r w:rsidRPr="00CB2B85">
        <w:rPr>
          <w:bCs/>
          <w:sz w:val="27"/>
          <w:szCs w:val="27"/>
          <w:lang w:val="uk-UA"/>
        </w:rPr>
        <w:t xml:space="preserve"> та інших. </w:t>
      </w:r>
    </w:p>
    <w:p w:rsidR="00973498" w:rsidRPr="00C11AB1" w:rsidRDefault="00973498" w:rsidP="00973498">
      <w:pPr>
        <w:widowControl w:val="0"/>
        <w:ind w:firstLine="709"/>
        <w:jc w:val="both"/>
        <w:rPr>
          <w:bCs/>
          <w:sz w:val="27"/>
          <w:szCs w:val="27"/>
          <w:lang w:val="uk-UA"/>
        </w:rPr>
      </w:pPr>
      <w:r w:rsidRPr="00CB2B85">
        <w:rPr>
          <w:bCs/>
          <w:sz w:val="27"/>
          <w:szCs w:val="27"/>
          <w:lang w:val="uk-UA"/>
        </w:rPr>
        <w:t>Завдяки високому рівню продуктивності, надійності та безпеки інформаційно-телекомунікаційних систем, у  2017 ро</w:t>
      </w:r>
      <w:r>
        <w:rPr>
          <w:bCs/>
          <w:sz w:val="27"/>
          <w:szCs w:val="27"/>
          <w:lang w:val="uk-UA"/>
        </w:rPr>
        <w:t>ці</w:t>
      </w:r>
      <w:r w:rsidRPr="00CB2B85">
        <w:rPr>
          <w:bCs/>
          <w:sz w:val="27"/>
          <w:szCs w:val="27"/>
          <w:lang w:val="uk-UA"/>
        </w:rPr>
        <w:t xml:space="preserve"> </w:t>
      </w:r>
      <w:r>
        <w:rPr>
          <w:bCs/>
          <w:sz w:val="27"/>
          <w:szCs w:val="27"/>
          <w:lang w:val="uk-UA"/>
        </w:rPr>
        <w:t xml:space="preserve">працівниками </w:t>
      </w:r>
      <w:r w:rsidRPr="00CB2B85">
        <w:rPr>
          <w:bCs/>
          <w:sz w:val="27"/>
          <w:szCs w:val="27"/>
          <w:lang w:val="uk-UA"/>
        </w:rPr>
        <w:t>Чернівецько</w:t>
      </w:r>
      <w:r>
        <w:rPr>
          <w:bCs/>
          <w:sz w:val="27"/>
          <w:szCs w:val="27"/>
          <w:lang w:val="uk-UA"/>
        </w:rPr>
        <w:t>ї</w:t>
      </w:r>
      <w:r w:rsidRPr="00CB2B85">
        <w:rPr>
          <w:bCs/>
          <w:sz w:val="27"/>
          <w:szCs w:val="27"/>
          <w:lang w:val="uk-UA"/>
        </w:rPr>
        <w:t xml:space="preserve"> ОДПІ</w:t>
      </w:r>
      <w:r>
        <w:rPr>
          <w:bCs/>
          <w:sz w:val="27"/>
          <w:szCs w:val="27"/>
          <w:lang w:val="uk-UA"/>
        </w:rPr>
        <w:t xml:space="preserve"> </w:t>
      </w:r>
      <w:r w:rsidRPr="00CB2B85">
        <w:rPr>
          <w:bCs/>
          <w:sz w:val="27"/>
          <w:szCs w:val="27"/>
          <w:lang w:val="uk-UA"/>
        </w:rPr>
        <w:t xml:space="preserve"> </w:t>
      </w:r>
      <w:r>
        <w:rPr>
          <w:bCs/>
          <w:sz w:val="27"/>
          <w:szCs w:val="27"/>
          <w:lang w:val="uk-UA"/>
        </w:rPr>
        <w:t xml:space="preserve">внесено </w:t>
      </w:r>
      <w:r w:rsidRPr="00CB2B85">
        <w:rPr>
          <w:bCs/>
          <w:sz w:val="27"/>
          <w:szCs w:val="27"/>
          <w:lang w:val="uk-UA"/>
        </w:rPr>
        <w:t xml:space="preserve"> </w:t>
      </w:r>
      <w:r>
        <w:rPr>
          <w:bCs/>
          <w:sz w:val="27"/>
          <w:szCs w:val="27"/>
          <w:lang w:val="uk-UA"/>
        </w:rPr>
        <w:t>161,6</w:t>
      </w:r>
      <w:r w:rsidRPr="00CB2B85">
        <w:rPr>
          <w:bCs/>
          <w:sz w:val="27"/>
          <w:szCs w:val="27"/>
          <w:lang w:val="uk-UA"/>
        </w:rPr>
        <w:t xml:space="preserve"> тис. звітів платників податків, що </w:t>
      </w:r>
      <w:r>
        <w:rPr>
          <w:bCs/>
          <w:sz w:val="27"/>
          <w:szCs w:val="27"/>
          <w:lang w:val="uk-UA"/>
        </w:rPr>
        <w:t>були подані платниками у паперовому вигляді</w:t>
      </w:r>
      <w:r w:rsidRPr="00CB2B85">
        <w:rPr>
          <w:bCs/>
          <w:sz w:val="27"/>
          <w:szCs w:val="27"/>
          <w:lang w:val="uk-UA"/>
        </w:rPr>
        <w:t xml:space="preserve"> або </w:t>
      </w:r>
      <w:r>
        <w:rPr>
          <w:bCs/>
          <w:sz w:val="27"/>
          <w:szCs w:val="27"/>
          <w:lang w:val="uk-UA"/>
        </w:rPr>
        <w:t>33,4</w:t>
      </w:r>
      <w:r w:rsidRPr="00CB2B85">
        <w:rPr>
          <w:bCs/>
          <w:sz w:val="27"/>
          <w:szCs w:val="27"/>
          <w:lang w:val="uk-UA"/>
        </w:rPr>
        <w:t xml:space="preserve"> відсотк</w:t>
      </w:r>
      <w:r>
        <w:rPr>
          <w:bCs/>
          <w:sz w:val="27"/>
          <w:szCs w:val="27"/>
          <w:lang w:val="uk-UA"/>
        </w:rPr>
        <w:t>а</w:t>
      </w:r>
      <w:r w:rsidRPr="00CB2B85">
        <w:rPr>
          <w:bCs/>
          <w:sz w:val="27"/>
          <w:szCs w:val="27"/>
          <w:lang w:val="uk-UA"/>
        </w:rPr>
        <w:t xml:space="preserve"> від загального обсягу податкових звітів, поданих платниками податків </w:t>
      </w:r>
      <w:r>
        <w:rPr>
          <w:bCs/>
          <w:sz w:val="27"/>
          <w:szCs w:val="27"/>
          <w:lang w:val="uk-UA"/>
        </w:rPr>
        <w:t>у 2017 році</w:t>
      </w:r>
      <w:r w:rsidRPr="00CB2B85">
        <w:rPr>
          <w:bCs/>
          <w:sz w:val="27"/>
          <w:szCs w:val="27"/>
          <w:lang w:val="uk-UA"/>
        </w:rPr>
        <w:t xml:space="preserve"> до Чернівецької ОДПІ (всього </w:t>
      </w:r>
      <w:r>
        <w:rPr>
          <w:bCs/>
          <w:sz w:val="27"/>
          <w:szCs w:val="27"/>
          <w:lang w:val="uk-UA"/>
        </w:rPr>
        <w:t>483</w:t>
      </w:r>
      <w:r w:rsidRPr="00CB2B85">
        <w:rPr>
          <w:bCs/>
          <w:sz w:val="27"/>
          <w:szCs w:val="27"/>
          <w:lang w:val="uk-UA"/>
        </w:rPr>
        <w:t>,</w:t>
      </w:r>
      <w:r>
        <w:rPr>
          <w:bCs/>
          <w:sz w:val="27"/>
          <w:szCs w:val="27"/>
          <w:lang w:val="uk-UA"/>
        </w:rPr>
        <w:t>6</w:t>
      </w:r>
      <w:r w:rsidRPr="00CB2B85">
        <w:rPr>
          <w:bCs/>
          <w:sz w:val="27"/>
          <w:szCs w:val="27"/>
          <w:lang w:val="uk-UA"/>
        </w:rPr>
        <w:t xml:space="preserve"> тис. </w:t>
      </w:r>
      <w:r>
        <w:rPr>
          <w:bCs/>
          <w:sz w:val="27"/>
          <w:szCs w:val="27"/>
          <w:lang w:val="uk-UA"/>
        </w:rPr>
        <w:t>зв</w:t>
      </w:r>
      <w:r w:rsidRPr="00CB2B85">
        <w:rPr>
          <w:bCs/>
          <w:sz w:val="27"/>
          <w:szCs w:val="27"/>
          <w:lang w:val="uk-UA"/>
        </w:rPr>
        <w:t>ітів</w:t>
      </w:r>
      <w:r>
        <w:rPr>
          <w:bCs/>
          <w:sz w:val="27"/>
          <w:szCs w:val="27"/>
          <w:lang w:val="uk-UA"/>
        </w:rPr>
        <w:t>). Відповідно за 9 місяців 2018 року внесено 81,</w:t>
      </w:r>
      <w:r w:rsidRPr="00C11AB1">
        <w:rPr>
          <w:bCs/>
          <w:sz w:val="27"/>
          <w:szCs w:val="27"/>
          <w:lang w:val="uk-UA"/>
        </w:rPr>
        <w:t>1тис.звітів на паперових носіях.</w:t>
      </w:r>
    </w:p>
    <w:p w:rsidR="00973498" w:rsidRDefault="00973498" w:rsidP="00973498">
      <w:pPr>
        <w:ind w:firstLine="709"/>
        <w:jc w:val="both"/>
        <w:rPr>
          <w:sz w:val="27"/>
          <w:szCs w:val="27"/>
          <w:lang w:val="uk-UA"/>
        </w:rPr>
      </w:pPr>
      <w:r w:rsidRPr="00D94D5B">
        <w:rPr>
          <w:sz w:val="27"/>
          <w:szCs w:val="27"/>
          <w:lang w:val="uk-UA"/>
        </w:rPr>
        <w:t>За рахунок вид</w:t>
      </w:r>
      <w:r>
        <w:rPr>
          <w:sz w:val="27"/>
          <w:szCs w:val="27"/>
          <w:lang w:val="uk-UA"/>
        </w:rPr>
        <w:t>і</w:t>
      </w:r>
      <w:r w:rsidRPr="00D94D5B">
        <w:rPr>
          <w:sz w:val="27"/>
          <w:szCs w:val="27"/>
          <w:lang w:val="uk-UA"/>
        </w:rPr>
        <w:t xml:space="preserve">лених </w:t>
      </w:r>
      <w:r>
        <w:rPr>
          <w:sz w:val="27"/>
          <w:szCs w:val="27"/>
          <w:lang w:val="uk-UA"/>
        </w:rPr>
        <w:t xml:space="preserve">у 2017 році </w:t>
      </w:r>
      <w:r w:rsidRPr="00D94D5B">
        <w:rPr>
          <w:sz w:val="27"/>
          <w:szCs w:val="27"/>
          <w:lang w:val="uk-UA"/>
        </w:rPr>
        <w:t>кошт</w:t>
      </w:r>
      <w:r>
        <w:rPr>
          <w:sz w:val="27"/>
          <w:szCs w:val="27"/>
          <w:lang w:val="uk-UA"/>
        </w:rPr>
        <w:t>і</w:t>
      </w:r>
      <w:r w:rsidRPr="00D94D5B">
        <w:rPr>
          <w:sz w:val="27"/>
          <w:szCs w:val="27"/>
          <w:lang w:val="uk-UA"/>
        </w:rPr>
        <w:t xml:space="preserve">в на </w:t>
      </w:r>
      <w:r>
        <w:rPr>
          <w:sz w:val="27"/>
          <w:szCs w:val="27"/>
          <w:lang w:val="uk-UA"/>
        </w:rPr>
        <w:t xml:space="preserve">ремонт у сумі 44 </w:t>
      </w:r>
      <w:r w:rsidRPr="00A03F99">
        <w:rPr>
          <w:sz w:val="27"/>
          <w:szCs w:val="27"/>
          <w:lang w:val="uk-UA"/>
        </w:rPr>
        <w:t>тис.</w:t>
      </w:r>
      <w:r>
        <w:rPr>
          <w:sz w:val="27"/>
          <w:szCs w:val="27"/>
          <w:lang w:val="uk-UA"/>
        </w:rPr>
        <w:t>грн. та меблі у сумі 32 тис.грн., проведено ремонтні роботи  та облаштовано  4 кабінети у ЦОП Чернівецької ОДПІ, що створило комфортні умови для перебування платників  та роботи працівників.</w:t>
      </w:r>
    </w:p>
    <w:p w:rsidR="00973498" w:rsidRPr="003D61C7" w:rsidRDefault="00973498" w:rsidP="00973498">
      <w:pPr>
        <w:widowControl w:val="0"/>
        <w:spacing w:line="20" w:lineRule="atLeast"/>
        <w:ind w:firstLine="720"/>
        <w:jc w:val="both"/>
        <w:rPr>
          <w:color w:val="FF0000"/>
          <w:sz w:val="27"/>
          <w:szCs w:val="27"/>
          <w:lang w:val="uk-UA"/>
        </w:rPr>
      </w:pPr>
    </w:p>
    <w:p w:rsidR="00973498" w:rsidRPr="00354991" w:rsidRDefault="00973498" w:rsidP="00973498">
      <w:pPr>
        <w:pStyle w:val="ListParagraph"/>
        <w:widowControl w:val="0"/>
        <w:numPr>
          <w:ilvl w:val="0"/>
          <w:numId w:val="2"/>
        </w:numPr>
        <w:spacing w:after="0" w:line="20" w:lineRule="atLeast"/>
        <w:jc w:val="center"/>
        <w:rPr>
          <w:rFonts w:ascii="Times New Roman" w:hAnsi="Times New Roman" w:cs="Times New Roman"/>
          <w:b/>
          <w:sz w:val="27"/>
          <w:szCs w:val="27"/>
          <w:lang w:val="uk-UA"/>
        </w:rPr>
      </w:pPr>
      <w:r w:rsidRPr="00354991">
        <w:rPr>
          <w:rFonts w:ascii="Times New Roman" w:hAnsi="Times New Roman" w:cs="Times New Roman"/>
          <w:b/>
          <w:sz w:val="27"/>
          <w:szCs w:val="27"/>
          <w:lang w:val="uk-UA"/>
        </w:rPr>
        <w:t>Ефективність та результативність реалізації</w:t>
      </w:r>
    </w:p>
    <w:p w:rsidR="00973498" w:rsidRDefault="00973498" w:rsidP="00973498">
      <w:pPr>
        <w:pStyle w:val="ListParagraph"/>
        <w:widowControl w:val="0"/>
        <w:spacing w:after="0" w:line="20" w:lineRule="atLeast"/>
        <w:ind w:left="0"/>
        <w:jc w:val="center"/>
        <w:rPr>
          <w:rFonts w:ascii="Times New Roman" w:hAnsi="Times New Roman" w:cs="Times New Roman"/>
          <w:b/>
          <w:sz w:val="27"/>
          <w:szCs w:val="27"/>
          <w:lang w:val="uk-UA"/>
        </w:rPr>
      </w:pPr>
      <w:r w:rsidRPr="00354991">
        <w:rPr>
          <w:rFonts w:ascii="Times New Roman" w:hAnsi="Times New Roman" w:cs="Times New Roman"/>
          <w:b/>
          <w:sz w:val="27"/>
          <w:szCs w:val="27"/>
          <w:lang w:val="uk-UA"/>
        </w:rPr>
        <w:t xml:space="preserve">заходів Програми </w:t>
      </w:r>
    </w:p>
    <w:p w:rsidR="00973498" w:rsidRPr="00354991" w:rsidRDefault="00973498" w:rsidP="00973498">
      <w:pPr>
        <w:pStyle w:val="ListParagraph"/>
        <w:widowControl w:val="0"/>
        <w:spacing w:after="0" w:line="20" w:lineRule="atLeast"/>
        <w:ind w:left="0"/>
        <w:jc w:val="center"/>
        <w:rPr>
          <w:rFonts w:ascii="Times New Roman" w:hAnsi="Times New Roman" w:cs="Times New Roman"/>
          <w:b/>
          <w:sz w:val="27"/>
          <w:szCs w:val="27"/>
          <w:lang w:val="uk-UA"/>
        </w:rPr>
      </w:pPr>
    </w:p>
    <w:p w:rsidR="00973498" w:rsidRPr="00790EC2" w:rsidRDefault="00973498" w:rsidP="00973498">
      <w:pPr>
        <w:tabs>
          <w:tab w:val="left" w:pos="0"/>
        </w:tabs>
        <w:ind w:firstLine="720"/>
        <w:jc w:val="both"/>
        <w:rPr>
          <w:sz w:val="27"/>
          <w:szCs w:val="27"/>
          <w:lang w:val="uk-UA"/>
        </w:rPr>
      </w:pPr>
      <w:r w:rsidRPr="00790EC2">
        <w:rPr>
          <w:sz w:val="27"/>
          <w:szCs w:val="27"/>
          <w:lang w:val="uk-UA"/>
        </w:rPr>
        <w:t>Тісна взаємодія податкової служби міста з органами виконавчої влади та місцевого самоврядування забезпечила не лише  повноцінне та своєчасне наповнення бюджетів, а й сприяла створенню сприятливих умов для обслуговування платників податків (в т.ч. центру обслуговування  платників податків), вихованню високої податкової культури населення, підвищенню рівня добровільної сплати податків, та, як наслідок, зміцненню добробуту Чернівецької громади.</w:t>
      </w:r>
    </w:p>
    <w:p w:rsidR="00973498" w:rsidRPr="00EC79E9" w:rsidRDefault="00973498" w:rsidP="00973498">
      <w:pPr>
        <w:tabs>
          <w:tab w:val="left" w:pos="0"/>
        </w:tabs>
        <w:ind w:firstLine="720"/>
        <w:jc w:val="both"/>
        <w:rPr>
          <w:sz w:val="27"/>
          <w:szCs w:val="27"/>
          <w:lang w:val="uk-UA"/>
        </w:rPr>
      </w:pPr>
      <w:r w:rsidRPr="00EC79E9">
        <w:rPr>
          <w:sz w:val="27"/>
          <w:szCs w:val="27"/>
          <w:lang w:val="uk-UA"/>
        </w:rPr>
        <w:t xml:space="preserve">Так, за 2017 рік до бюджетів усіх рівнів податковою інспекцією мобілізовано податків на загальну суму </w:t>
      </w:r>
      <w:r>
        <w:rPr>
          <w:sz w:val="27"/>
          <w:szCs w:val="27"/>
          <w:lang w:val="uk-UA"/>
        </w:rPr>
        <w:t>1994</w:t>
      </w:r>
      <w:r w:rsidRPr="00EC79E9">
        <w:rPr>
          <w:sz w:val="27"/>
          <w:szCs w:val="27"/>
          <w:lang w:val="uk-UA"/>
        </w:rPr>
        <w:t>,</w:t>
      </w:r>
      <w:r>
        <w:rPr>
          <w:sz w:val="27"/>
          <w:szCs w:val="27"/>
          <w:lang w:val="uk-UA"/>
        </w:rPr>
        <w:t>6</w:t>
      </w:r>
      <w:r w:rsidRPr="00EC79E9">
        <w:rPr>
          <w:sz w:val="27"/>
          <w:szCs w:val="27"/>
          <w:lang w:val="uk-UA"/>
        </w:rPr>
        <w:t xml:space="preserve"> млн. грн., що перевищує минулорічний рівень збору податків на </w:t>
      </w:r>
      <w:r>
        <w:rPr>
          <w:sz w:val="27"/>
          <w:szCs w:val="27"/>
          <w:lang w:val="uk-UA"/>
        </w:rPr>
        <w:t>395</w:t>
      </w:r>
      <w:r w:rsidRPr="00EC79E9">
        <w:rPr>
          <w:sz w:val="27"/>
          <w:szCs w:val="27"/>
          <w:lang w:val="uk-UA"/>
        </w:rPr>
        <w:t>,</w:t>
      </w:r>
      <w:r>
        <w:rPr>
          <w:sz w:val="27"/>
          <w:szCs w:val="27"/>
          <w:lang w:val="uk-UA"/>
        </w:rPr>
        <w:t>1</w:t>
      </w:r>
      <w:r w:rsidRPr="00EC79E9">
        <w:rPr>
          <w:sz w:val="27"/>
          <w:szCs w:val="27"/>
          <w:lang w:val="uk-UA"/>
        </w:rPr>
        <w:t xml:space="preserve"> млн. грн. або на 2</w:t>
      </w:r>
      <w:r>
        <w:rPr>
          <w:sz w:val="27"/>
          <w:szCs w:val="27"/>
          <w:lang w:val="uk-UA"/>
        </w:rPr>
        <w:t>4</w:t>
      </w:r>
      <w:r w:rsidRPr="00EC79E9">
        <w:rPr>
          <w:sz w:val="27"/>
          <w:szCs w:val="27"/>
          <w:lang w:val="uk-UA"/>
        </w:rPr>
        <w:t>,</w:t>
      </w:r>
      <w:r>
        <w:rPr>
          <w:sz w:val="27"/>
          <w:szCs w:val="27"/>
          <w:lang w:val="uk-UA"/>
        </w:rPr>
        <w:t>7</w:t>
      </w:r>
      <w:r w:rsidRPr="00EC79E9">
        <w:rPr>
          <w:sz w:val="27"/>
          <w:szCs w:val="27"/>
          <w:lang w:val="uk-UA"/>
        </w:rPr>
        <w:t xml:space="preserve"> %.  </w:t>
      </w:r>
    </w:p>
    <w:p w:rsidR="00973498" w:rsidRDefault="00973498" w:rsidP="00973498">
      <w:pPr>
        <w:tabs>
          <w:tab w:val="left" w:pos="0"/>
        </w:tabs>
        <w:ind w:firstLine="720"/>
        <w:jc w:val="both"/>
        <w:rPr>
          <w:sz w:val="27"/>
          <w:szCs w:val="27"/>
          <w:lang w:val="uk-UA"/>
        </w:rPr>
      </w:pPr>
      <w:r w:rsidRPr="00EC79E9">
        <w:rPr>
          <w:sz w:val="27"/>
          <w:szCs w:val="27"/>
          <w:lang w:val="uk-UA"/>
        </w:rPr>
        <w:t>У 2017 році до міського бюджету надійшло 1039,1 млн. грн. податків і зборів, що на 25% перевищує показники попереднього року. Приріст надходжень порівняно з минулим роком забезпечено в основному по всіх податках, які контролюються податковою  службою, зокрема, по податку з доходів фізичних осіб ріст склав 189,1 млн. грн. або 44,2%.</w:t>
      </w:r>
      <w:r>
        <w:rPr>
          <w:sz w:val="27"/>
          <w:szCs w:val="27"/>
          <w:lang w:val="uk-UA"/>
        </w:rPr>
        <w:t xml:space="preserve"> </w:t>
      </w:r>
      <w:r w:rsidRPr="00EC79E9">
        <w:rPr>
          <w:sz w:val="27"/>
          <w:szCs w:val="27"/>
          <w:lang w:val="uk-UA"/>
        </w:rPr>
        <w:t xml:space="preserve">Виконання планових показників склало 103,8%. </w:t>
      </w:r>
    </w:p>
    <w:p w:rsidR="00973498" w:rsidRDefault="00973498" w:rsidP="00973498">
      <w:pPr>
        <w:tabs>
          <w:tab w:val="left" w:pos="0"/>
        </w:tabs>
        <w:ind w:firstLine="720"/>
        <w:jc w:val="both"/>
        <w:rPr>
          <w:sz w:val="27"/>
          <w:szCs w:val="27"/>
          <w:lang w:val="uk-UA"/>
        </w:rPr>
      </w:pPr>
      <w:r>
        <w:rPr>
          <w:sz w:val="27"/>
          <w:szCs w:val="27"/>
          <w:lang w:val="uk-UA"/>
        </w:rPr>
        <w:t>З</w:t>
      </w:r>
      <w:r w:rsidRPr="00EC79E9">
        <w:rPr>
          <w:sz w:val="27"/>
          <w:szCs w:val="27"/>
          <w:lang w:val="uk-UA"/>
        </w:rPr>
        <w:t xml:space="preserve">а </w:t>
      </w:r>
      <w:r>
        <w:rPr>
          <w:sz w:val="27"/>
          <w:szCs w:val="27"/>
          <w:lang w:val="uk-UA"/>
        </w:rPr>
        <w:t xml:space="preserve">січень-вересень </w:t>
      </w:r>
      <w:r w:rsidRPr="00EC79E9">
        <w:rPr>
          <w:sz w:val="27"/>
          <w:szCs w:val="27"/>
          <w:lang w:val="uk-UA"/>
        </w:rPr>
        <w:t>201</w:t>
      </w:r>
      <w:r>
        <w:rPr>
          <w:sz w:val="27"/>
          <w:szCs w:val="27"/>
          <w:lang w:val="uk-UA"/>
        </w:rPr>
        <w:t>8</w:t>
      </w:r>
      <w:r w:rsidRPr="00EC79E9">
        <w:rPr>
          <w:sz w:val="27"/>
          <w:szCs w:val="27"/>
          <w:lang w:val="uk-UA"/>
        </w:rPr>
        <w:t xml:space="preserve"> р</w:t>
      </w:r>
      <w:r>
        <w:rPr>
          <w:sz w:val="27"/>
          <w:szCs w:val="27"/>
          <w:lang w:val="uk-UA"/>
        </w:rPr>
        <w:t>оку</w:t>
      </w:r>
      <w:r w:rsidRPr="00EC79E9">
        <w:rPr>
          <w:sz w:val="27"/>
          <w:szCs w:val="27"/>
          <w:lang w:val="uk-UA"/>
        </w:rPr>
        <w:t xml:space="preserve"> до бюджетів усіх рівнів </w:t>
      </w:r>
      <w:r>
        <w:rPr>
          <w:sz w:val="27"/>
          <w:szCs w:val="27"/>
          <w:lang w:val="uk-UA"/>
        </w:rPr>
        <w:t xml:space="preserve">податковою інспекцією </w:t>
      </w:r>
      <w:r w:rsidRPr="00EC79E9">
        <w:rPr>
          <w:sz w:val="27"/>
          <w:szCs w:val="27"/>
          <w:lang w:val="uk-UA"/>
        </w:rPr>
        <w:t xml:space="preserve">мобілізовано податків на загальну суму </w:t>
      </w:r>
      <w:r>
        <w:rPr>
          <w:sz w:val="27"/>
          <w:szCs w:val="27"/>
          <w:lang w:val="uk-UA"/>
        </w:rPr>
        <w:t xml:space="preserve">1759,98 </w:t>
      </w:r>
      <w:r w:rsidRPr="00EC79E9">
        <w:rPr>
          <w:sz w:val="27"/>
          <w:szCs w:val="27"/>
          <w:lang w:val="uk-UA"/>
        </w:rPr>
        <w:t>млн. грн.</w:t>
      </w:r>
      <w:r>
        <w:rPr>
          <w:sz w:val="27"/>
          <w:szCs w:val="27"/>
          <w:lang w:val="uk-UA"/>
        </w:rPr>
        <w:t xml:space="preserve">, в тому числі </w:t>
      </w:r>
      <w:r w:rsidRPr="00EC79E9">
        <w:rPr>
          <w:sz w:val="27"/>
          <w:szCs w:val="27"/>
          <w:lang w:val="uk-UA"/>
        </w:rPr>
        <w:t xml:space="preserve"> до міського бюджету надійшло </w:t>
      </w:r>
      <w:r>
        <w:rPr>
          <w:sz w:val="27"/>
          <w:szCs w:val="27"/>
          <w:lang w:val="uk-UA"/>
        </w:rPr>
        <w:t xml:space="preserve">904,5 </w:t>
      </w:r>
      <w:r w:rsidRPr="00EC79E9">
        <w:rPr>
          <w:sz w:val="27"/>
          <w:szCs w:val="27"/>
          <w:lang w:val="uk-UA"/>
        </w:rPr>
        <w:t>млн. грн. податків і зборів</w:t>
      </w:r>
      <w:r>
        <w:rPr>
          <w:sz w:val="27"/>
          <w:szCs w:val="27"/>
          <w:lang w:val="uk-UA"/>
        </w:rPr>
        <w:t xml:space="preserve">. </w:t>
      </w:r>
      <w:r w:rsidRPr="00EC79E9">
        <w:rPr>
          <w:sz w:val="27"/>
          <w:szCs w:val="27"/>
          <w:lang w:val="uk-UA"/>
        </w:rPr>
        <w:t xml:space="preserve">Виконання планових показників склало </w:t>
      </w:r>
      <w:r>
        <w:rPr>
          <w:sz w:val="27"/>
          <w:szCs w:val="27"/>
          <w:lang w:val="uk-UA"/>
        </w:rPr>
        <w:t>100,5</w:t>
      </w:r>
      <w:r w:rsidRPr="00EC79E9">
        <w:rPr>
          <w:sz w:val="27"/>
          <w:szCs w:val="27"/>
          <w:lang w:val="uk-UA"/>
        </w:rPr>
        <w:t xml:space="preserve">%. </w:t>
      </w:r>
    </w:p>
    <w:p w:rsidR="00973498" w:rsidRDefault="00973498" w:rsidP="00973498">
      <w:pPr>
        <w:tabs>
          <w:tab w:val="left" w:pos="0"/>
        </w:tabs>
        <w:ind w:firstLine="720"/>
        <w:jc w:val="both"/>
        <w:rPr>
          <w:sz w:val="27"/>
          <w:szCs w:val="27"/>
          <w:lang w:val="uk-UA"/>
        </w:rPr>
      </w:pPr>
      <w:r w:rsidRPr="00B051B7">
        <w:rPr>
          <w:sz w:val="27"/>
          <w:szCs w:val="27"/>
          <w:lang w:val="uk-UA"/>
        </w:rPr>
        <w:lastRenderedPageBreak/>
        <w:t>Т</w:t>
      </w:r>
      <w:r w:rsidRPr="00354991">
        <w:rPr>
          <w:sz w:val="27"/>
          <w:szCs w:val="27"/>
          <w:lang w:val="uk-UA"/>
        </w:rPr>
        <w:t>аким чином</w:t>
      </w:r>
      <w:r>
        <w:rPr>
          <w:sz w:val="27"/>
          <w:szCs w:val="27"/>
          <w:lang w:val="uk-UA"/>
        </w:rPr>
        <w:t>,</w:t>
      </w:r>
      <w:r w:rsidRPr="00354991">
        <w:rPr>
          <w:sz w:val="27"/>
          <w:szCs w:val="27"/>
          <w:lang w:val="uk-UA"/>
        </w:rPr>
        <w:t xml:space="preserve"> </w:t>
      </w:r>
      <w:r>
        <w:rPr>
          <w:sz w:val="27"/>
          <w:szCs w:val="27"/>
          <w:lang w:val="uk-UA"/>
        </w:rPr>
        <w:t xml:space="preserve">у 2017 році </w:t>
      </w:r>
      <w:r w:rsidRPr="00354991">
        <w:rPr>
          <w:sz w:val="27"/>
          <w:szCs w:val="27"/>
          <w:lang w:val="uk-UA"/>
        </w:rPr>
        <w:t>бюджет</w:t>
      </w:r>
      <w:r>
        <w:rPr>
          <w:sz w:val="27"/>
          <w:szCs w:val="27"/>
          <w:lang w:val="uk-UA"/>
        </w:rPr>
        <w:t xml:space="preserve"> міста</w:t>
      </w:r>
      <w:r w:rsidRPr="00354991">
        <w:rPr>
          <w:sz w:val="27"/>
          <w:szCs w:val="27"/>
          <w:lang w:val="uk-UA"/>
        </w:rPr>
        <w:t xml:space="preserve"> отрима</w:t>
      </w:r>
      <w:r>
        <w:rPr>
          <w:sz w:val="27"/>
          <w:szCs w:val="27"/>
          <w:lang w:val="uk-UA"/>
        </w:rPr>
        <w:t>в</w:t>
      </w:r>
      <w:r w:rsidRPr="00354991">
        <w:rPr>
          <w:sz w:val="27"/>
          <w:szCs w:val="27"/>
          <w:lang w:val="uk-UA"/>
        </w:rPr>
        <w:t xml:space="preserve"> додаткове фінансування у розмірі </w:t>
      </w:r>
      <w:r>
        <w:rPr>
          <w:sz w:val="27"/>
          <w:szCs w:val="27"/>
          <w:lang w:val="uk-UA"/>
        </w:rPr>
        <w:t>38,5</w:t>
      </w:r>
      <w:r w:rsidRPr="00354991">
        <w:rPr>
          <w:sz w:val="27"/>
          <w:szCs w:val="27"/>
          <w:lang w:val="uk-UA"/>
        </w:rPr>
        <w:t xml:space="preserve"> млн. грн., </w:t>
      </w:r>
      <w:r>
        <w:rPr>
          <w:sz w:val="27"/>
          <w:szCs w:val="27"/>
          <w:lang w:val="uk-UA"/>
        </w:rPr>
        <w:t xml:space="preserve">за 9 місяців 2018 року – 4,8 млн.грн., </w:t>
      </w:r>
      <w:r w:rsidRPr="00354991">
        <w:rPr>
          <w:sz w:val="27"/>
          <w:szCs w:val="27"/>
          <w:lang w:val="uk-UA"/>
        </w:rPr>
        <w:t>які розшир</w:t>
      </w:r>
      <w:r>
        <w:rPr>
          <w:sz w:val="27"/>
          <w:szCs w:val="27"/>
          <w:lang w:val="uk-UA"/>
        </w:rPr>
        <w:t>или</w:t>
      </w:r>
      <w:r w:rsidRPr="00354991">
        <w:rPr>
          <w:sz w:val="27"/>
          <w:szCs w:val="27"/>
          <w:lang w:val="uk-UA"/>
        </w:rPr>
        <w:t xml:space="preserve"> можливості  громад</w:t>
      </w:r>
      <w:r>
        <w:rPr>
          <w:sz w:val="27"/>
          <w:szCs w:val="27"/>
          <w:lang w:val="uk-UA"/>
        </w:rPr>
        <w:t>и</w:t>
      </w:r>
      <w:r w:rsidRPr="00354991">
        <w:rPr>
          <w:sz w:val="27"/>
          <w:szCs w:val="27"/>
          <w:lang w:val="uk-UA"/>
        </w:rPr>
        <w:t xml:space="preserve"> </w:t>
      </w:r>
      <w:r>
        <w:rPr>
          <w:sz w:val="27"/>
          <w:szCs w:val="27"/>
          <w:lang w:val="uk-UA"/>
        </w:rPr>
        <w:t xml:space="preserve">міста </w:t>
      </w:r>
      <w:r w:rsidRPr="00354991">
        <w:rPr>
          <w:sz w:val="27"/>
          <w:szCs w:val="27"/>
          <w:lang w:val="uk-UA"/>
        </w:rPr>
        <w:t>використати акумульовані кошти на фінансування соціально-культурної сфери регіону, зокрема, на додаткове фінансування закладів освіти, культури, охорони здоров’я, вирішення інших нагальних питань громад</w:t>
      </w:r>
      <w:r>
        <w:rPr>
          <w:sz w:val="27"/>
          <w:szCs w:val="27"/>
          <w:lang w:val="uk-UA"/>
        </w:rPr>
        <w:t>и міста</w:t>
      </w:r>
      <w:r w:rsidRPr="00354991">
        <w:rPr>
          <w:sz w:val="27"/>
          <w:szCs w:val="27"/>
          <w:lang w:val="uk-UA"/>
        </w:rPr>
        <w:t xml:space="preserve">. </w:t>
      </w:r>
    </w:p>
    <w:p w:rsidR="00973498" w:rsidRDefault="00973498" w:rsidP="00973498">
      <w:pPr>
        <w:ind w:firstLine="539"/>
        <w:jc w:val="both"/>
        <w:rPr>
          <w:sz w:val="27"/>
          <w:szCs w:val="27"/>
          <w:lang w:val="uk-UA"/>
        </w:rPr>
      </w:pPr>
      <w:r>
        <w:rPr>
          <w:sz w:val="27"/>
          <w:szCs w:val="27"/>
          <w:lang w:val="uk-UA"/>
        </w:rPr>
        <w:t>Слід зазначити, що за 2017 рік удвічі збільшилась кількість наданих адміністративних послуг платникам податків, а саме у  2017 році надано 46,6тис.  адміністративних послуг проти 23,4тис.  минулого року. За січень-вересень 2018 року відповідно надано 27,8 тис. адміністративних послуг.</w:t>
      </w:r>
    </w:p>
    <w:p w:rsidR="00973498" w:rsidRDefault="00973498" w:rsidP="00973498">
      <w:pPr>
        <w:spacing w:line="20" w:lineRule="atLeast"/>
        <w:jc w:val="both"/>
        <w:rPr>
          <w:b/>
          <w:sz w:val="27"/>
          <w:szCs w:val="27"/>
          <w:lang w:val="uk-UA"/>
        </w:rPr>
      </w:pPr>
    </w:p>
    <w:p w:rsidR="00973498" w:rsidRDefault="00973498" w:rsidP="00973498">
      <w:pPr>
        <w:spacing w:line="20" w:lineRule="atLeast"/>
        <w:jc w:val="both"/>
        <w:rPr>
          <w:b/>
          <w:sz w:val="27"/>
          <w:szCs w:val="27"/>
          <w:lang w:val="uk-UA"/>
        </w:rPr>
      </w:pPr>
    </w:p>
    <w:p w:rsidR="00973498" w:rsidRDefault="00973498" w:rsidP="00973498">
      <w:pPr>
        <w:spacing w:line="20" w:lineRule="atLeast"/>
        <w:jc w:val="both"/>
        <w:rPr>
          <w:b/>
          <w:sz w:val="27"/>
          <w:szCs w:val="27"/>
          <w:lang w:val="uk-UA"/>
        </w:rPr>
      </w:pPr>
    </w:p>
    <w:p w:rsidR="00973498" w:rsidRPr="00E5557F" w:rsidRDefault="00973498" w:rsidP="00973498">
      <w:pPr>
        <w:tabs>
          <w:tab w:val="left" w:pos="0"/>
        </w:tabs>
        <w:jc w:val="both"/>
        <w:rPr>
          <w:b/>
          <w:sz w:val="27"/>
          <w:szCs w:val="27"/>
          <w:lang w:val="uk-UA"/>
        </w:rPr>
      </w:pPr>
      <w:r w:rsidRPr="00E5557F">
        <w:rPr>
          <w:b/>
          <w:sz w:val="27"/>
          <w:szCs w:val="27"/>
          <w:lang w:val="uk-UA"/>
        </w:rPr>
        <w:t xml:space="preserve">Голова комісії з реорганізації </w:t>
      </w:r>
    </w:p>
    <w:p w:rsidR="00973498" w:rsidRPr="00E5557F" w:rsidRDefault="00973498" w:rsidP="00973498">
      <w:pPr>
        <w:tabs>
          <w:tab w:val="left" w:pos="0"/>
        </w:tabs>
        <w:jc w:val="both"/>
        <w:rPr>
          <w:b/>
          <w:sz w:val="27"/>
          <w:szCs w:val="27"/>
          <w:lang w:val="uk-UA"/>
        </w:rPr>
      </w:pPr>
      <w:r w:rsidRPr="00E5557F">
        <w:rPr>
          <w:b/>
          <w:sz w:val="27"/>
          <w:szCs w:val="27"/>
          <w:lang w:val="uk-UA"/>
        </w:rPr>
        <w:t xml:space="preserve">Чернівецької ОДПІГУ ДФС </w:t>
      </w:r>
    </w:p>
    <w:p w:rsidR="00973498" w:rsidRPr="00E5557F" w:rsidRDefault="00973498" w:rsidP="00973498">
      <w:pPr>
        <w:tabs>
          <w:tab w:val="left" w:pos="0"/>
        </w:tabs>
        <w:jc w:val="both"/>
        <w:rPr>
          <w:b/>
          <w:sz w:val="27"/>
          <w:szCs w:val="27"/>
          <w:lang w:val="uk-UA"/>
        </w:rPr>
      </w:pPr>
      <w:r w:rsidRPr="00E5557F">
        <w:rPr>
          <w:b/>
          <w:sz w:val="27"/>
          <w:szCs w:val="27"/>
          <w:lang w:val="uk-UA"/>
        </w:rPr>
        <w:t xml:space="preserve">у  Чернівецької області, </w:t>
      </w:r>
    </w:p>
    <w:p w:rsidR="00973498" w:rsidRPr="00E5557F" w:rsidRDefault="00973498" w:rsidP="00973498">
      <w:pPr>
        <w:tabs>
          <w:tab w:val="left" w:pos="0"/>
        </w:tabs>
        <w:jc w:val="both"/>
        <w:rPr>
          <w:b/>
          <w:sz w:val="27"/>
          <w:szCs w:val="27"/>
          <w:lang w:val="uk-UA"/>
        </w:rPr>
      </w:pPr>
      <w:r w:rsidRPr="00E5557F">
        <w:rPr>
          <w:b/>
          <w:sz w:val="27"/>
          <w:szCs w:val="27"/>
          <w:lang w:val="uk-UA"/>
        </w:rPr>
        <w:t xml:space="preserve">заступник начальника - </w:t>
      </w:r>
    </w:p>
    <w:p w:rsidR="00973498" w:rsidRPr="008B50EE" w:rsidRDefault="00973498" w:rsidP="00973498">
      <w:pPr>
        <w:jc w:val="both"/>
        <w:rPr>
          <w:lang w:val="uk-UA"/>
        </w:rPr>
      </w:pPr>
      <w:r w:rsidRPr="00E5557F">
        <w:rPr>
          <w:b/>
          <w:sz w:val="27"/>
          <w:szCs w:val="27"/>
          <w:lang w:val="uk-UA"/>
        </w:rPr>
        <w:t>начальник Глибоцького відділення</w:t>
      </w:r>
      <w:r w:rsidRPr="00E5557F">
        <w:rPr>
          <w:b/>
          <w:sz w:val="27"/>
          <w:szCs w:val="27"/>
          <w:lang w:val="uk-UA"/>
        </w:rPr>
        <w:tab/>
      </w:r>
      <w:r w:rsidRPr="00E5557F">
        <w:rPr>
          <w:b/>
          <w:sz w:val="27"/>
          <w:szCs w:val="27"/>
          <w:lang w:val="uk-UA"/>
        </w:rPr>
        <w:tab/>
      </w:r>
      <w:r w:rsidRPr="00E5557F">
        <w:rPr>
          <w:b/>
          <w:sz w:val="27"/>
          <w:szCs w:val="27"/>
          <w:lang w:val="uk-UA"/>
        </w:rPr>
        <w:tab/>
      </w:r>
      <w:r w:rsidRPr="00E5557F">
        <w:rPr>
          <w:b/>
          <w:sz w:val="27"/>
          <w:szCs w:val="27"/>
          <w:lang w:val="uk-UA"/>
        </w:rPr>
        <w:tab/>
      </w:r>
      <w:r>
        <w:rPr>
          <w:b/>
          <w:sz w:val="27"/>
          <w:szCs w:val="27"/>
          <w:lang w:val="uk-UA"/>
        </w:rPr>
        <w:t xml:space="preserve">     </w:t>
      </w:r>
      <w:r w:rsidRPr="00E5557F">
        <w:rPr>
          <w:b/>
          <w:sz w:val="27"/>
          <w:szCs w:val="27"/>
          <w:lang w:val="uk-UA"/>
        </w:rPr>
        <w:t>В.ПЕТКОВИЧ</w:t>
      </w:r>
    </w:p>
    <w:p w:rsidR="00973498" w:rsidRDefault="00973498"/>
    <w:sectPr w:rsidR="00973498" w:rsidSect="00B57770">
      <w:headerReference w:type="even" r:id="rId7"/>
      <w:headerReference w:type="default" r:id="rId8"/>
      <w:pgSz w:w="11906" w:h="16838"/>
      <w:pgMar w:top="1134" w:right="851" w:bottom="567"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F1" w:rsidRDefault="00AF7DF1">
      <w:r>
        <w:separator/>
      </w:r>
    </w:p>
  </w:endnote>
  <w:endnote w:type="continuationSeparator" w:id="0">
    <w:p w:rsidR="00AF7DF1" w:rsidRDefault="00AF7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F1" w:rsidRDefault="00AF7DF1">
      <w:r>
        <w:separator/>
      </w:r>
    </w:p>
  </w:footnote>
  <w:footnote w:type="continuationSeparator" w:id="0">
    <w:p w:rsidR="00AF7DF1" w:rsidRDefault="00AF7DF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7770" w:rsidRDefault="00B57770" w:rsidP="0043071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B57770" w:rsidRDefault="00B57770">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7770" w:rsidRDefault="00B57770" w:rsidP="0043071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DB3D1C">
      <w:rPr>
        <w:rStyle w:val="a4"/>
        <w:noProof/>
      </w:rPr>
      <w:t>2</w:t>
    </w:r>
    <w:r>
      <w:rPr>
        <w:rStyle w:val="a4"/>
      </w:rPr>
      <w:fldChar w:fldCharType="end"/>
    </w:r>
  </w:p>
  <w:p w:rsidR="00B57770" w:rsidRDefault="00B57770">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CD2A5D"/>
    <w:multiLevelType w:val="hybridMultilevel"/>
    <w:tmpl w:val="05EA3A7A"/>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22135AED"/>
    <w:multiLevelType w:val="hybridMultilevel"/>
    <w:tmpl w:val="E00E393C"/>
    <w:lvl w:ilvl="0" w:tplc="FDDA2F46">
      <w:start w:val="1"/>
      <w:numFmt w:val="decimal"/>
      <w:lvlText w:val="%1."/>
      <w:lvlJc w:val="left"/>
      <w:pPr>
        <w:ind w:left="1571" w:hanging="360"/>
      </w:pPr>
      <w:rPr>
        <w:rFonts w:cs="Times New Roman" w:hint="default"/>
      </w:rPr>
    </w:lvl>
    <w:lvl w:ilvl="1" w:tplc="04220019" w:tentative="1">
      <w:start w:val="1"/>
      <w:numFmt w:val="lowerLetter"/>
      <w:lvlText w:val="%2."/>
      <w:lvlJc w:val="left"/>
      <w:pPr>
        <w:ind w:left="2291" w:hanging="360"/>
      </w:pPr>
      <w:rPr>
        <w:rFonts w:cs="Times New Roman"/>
      </w:rPr>
    </w:lvl>
    <w:lvl w:ilvl="2" w:tplc="0422001B" w:tentative="1">
      <w:start w:val="1"/>
      <w:numFmt w:val="lowerRoman"/>
      <w:lvlText w:val="%3."/>
      <w:lvlJc w:val="right"/>
      <w:pPr>
        <w:ind w:left="3011" w:hanging="180"/>
      </w:pPr>
      <w:rPr>
        <w:rFonts w:cs="Times New Roman"/>
      </w:rPr>
    </w:lvl>
    <w:lvl w:ilvl="3" w:tplc="0422000F" w:tentative="1">
      <w:start w:val="1"/>
      <w:numFmt w:val="decimal"/>
      <w:lvlText w:val="%4."/>
      <w:lvlJc w:val="left"/>
      <w:pPr>
        <w:ind w:left="3731" w:hanging="360"/>
      </w:pPr>
      <w:rPr>
        <w:rFonts w:cs="Times New Roman"/>
      </w:rPr>
    </w:lvl>
    <w:lvl w:ilvl="4" w:tplc="04220019" w:tentative="1">
      <w:start w:val="1"/>
      <w:numFmt w:val="lowerLetter"/>
      <w:lvlText w:val="%5."/>
      <w:lvlJc w:val="left"/>
      <w:pPr>
        <w:ind w:left="4451" w:hanging="360"/>
      </w:pPr>
      <w:rPr>
        <w:rFonts w:cs="Times New Roman"/>
      </w:rPr>
    </w:lvl>
    <w:lvl w:ilvl="5" w:tplc="0422001B" w:tentative="1">
      <w:start w:val="1"/>
      <w:numFmt w:val="lowerRoman"/>
      <w:lvlText w:val="%6."/>
      <w:lvlJc w:val="right"/>
      <w:pPr>
        <w:ind w:left="5171" w:hanging="180"/>
      </w:pPr>
      <w:rPr>
        <w:rFonts w:cs="Times New Roman"/>
      </w:rPr>
    </w:lvl>
    <w:lvl w:ilvl="6" w:tplc="0422000F" w:tentative="1">
      <w:start w:val="1"/>
      <w:numFmt w:val="decimal"/>
      <w:lvlText w:val="%7."/>
      <w:lvlJc w:val="left"/>
      <w:pPr>
        <w:ind w:left="5891" w:hanging="360"/>
      </w:pPr>
      <w:rPr>
        <w:rFonts w:cs="Times New Roman"/>
      </w:rPr>
    </w:lvl>
    <w:lvl w:ilvl="7" w:tplc="04220019" w:tentative="1">
      <w:start w:val="1"/>
      <w:numFmt w:val="lowerLetter"/>
      <w:lvlText w:val="%8."/>
      <w:lvlJc w:val="left"/>
      <w:pPr>
        <w:ind w:left="6611" w:hanging="360"/>
      </w:pPr>
      <w:rPr>
        <w:rFonts w:cs="Times New Roman"/>
      </w:rPr>
    </w:lvl>
    <w:lvl w:ilvl="8" w:tplc="0422001B" w:tentative="1">
      <w:start w:val="1"/>
      <w:numFmt w:val="lowerRoman"/>
      <w:lvlText w:val="%9."/>
      <w:lvlJc w:val="right"/>
      <w:pPr>
        <w:ind w:left="7331" w:hanging="180"/>
      </w:pPr>
      <w:rPr>
        <w:rFonts w:cs="Times New Roman"/>
      </w:rPr>
    </w:lvl>
  </w:abstractNum>
  <w:abstractNum w:abstractNumId="2" w15:restartNumberingAfterBreak="0">
    <w:nsid w:val="67E57EBD"/>
    <w:multiLevelType w:val="hybridMultilevel"/>
    <w:tmpl w:val="818697F2"/>
    <w:lvl w:ilvl="0" w:tplc="55F0464E">
      <w:start w:val="1"/>
      <w:numFmt w:val="decimal"/>
      <w:lvlText w:val="%1."/>
      <w:lvlJc w:val="left"/>
      <w:pPr>
        <w:tabs>
          <w:tab w:val="num" w:pos="1699"/>
        </w:tabs>
        <w:ind w:left="1699" w:hanging="99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498"/>
    <w:rsid w:val="0043071F"/>
    <w:rsid w:val="00973498"/>
    <w:rsid w:val="00AF7DF1"/>
    <w:rsid w:val="00B57770"/>
    <w:rsid w:val="00DB3D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4E953E49-279E-40C7-9617-95421C84F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3498"/>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ListParagraph">
    <w:name w:val="List Paragraph"/>
    <w:basedOn w:val="a"/>
    <w:rsid w:val="00973498"/>
    <w:pPr>
      <w:spacing w:after="200" w:line="276" w:lineRule="auto"/>
      <w:ind w:left="720"/>
    </w:pPr>
    <w:rPr>
      <w:rFonts w:ascii="Calibri" w:hAnsi="Calibri" w:cs="Calibri"/>
      <w:sz w:val="22"/>
      <w:szCs w:val="22"/>
      <w:lang w:eastAsia="en-US"/>
    </w:rPr>
  </w:style>
  <w:style w:type="paragraph" w:styleId="a3">
    <w:name w:val="header"/>
    <w:basedOn w:val="a"/>
    <w:rsid w:val="00B57770"/>
    <w:pPr>
      <w:tabs>
        <w:tab w:val="center" w:pos="4677"/>
        <w:tab w:val="right" w:pos="9355"/>
      </w:tabs>
    </w:pPr>
  </w:style>
  <w:style w:type="character" w:styleId="a4">
    <w:name w:val="page number"/>
    <w:basedOn w:val="a0"/>
    <w:rsid w:val="00B577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1716</Words>
  <Characters>9786</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Інформація </vt:lpstr>
    </vt:vector>
  </TitlesOfParts>
  <Company>Microsoft</Company>
  <LinksUpToDate>false</LinksUpToDate>
  <CharactersWithSpaces>11480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Інформація</dc:title>
  <dc:subject/>
  <dc:creator>Admin</dc:creator>
  <cp:keywords/>
  <dc:description/>
  <cp:lastModifiedBy>kompvid2</cp:lastModifiedBy>
  <cp:revision>2</cp:revision>
  <dcterms:created xsi:type="dcterms:W3CDTF">2019-01-28T12:13:00Z</dcterms:created>
  <dcterms:modified xsi:type="dcterms:W3CDTF">2019-01-28T12:13:00Z</dcterms:modified>
</cp:coreProperties>
</file>