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484CAA" w:rsidP="00484CAA">
      <w:pPr>
        <w:spacing w:after="0" w:line="240" w:lineRule="auto"/>
        <w:rPr>
          <w:rFonts w:ascii="Times New Roman" w:hAnsi="Times New Roman" w:cs="Times New Roman"/>
          <w:b/>
          <w:bCs/>
          <w:sz w:val="28"/>
          <w:szCs w:val="28"/>
        </w:rPr>
      </w:pPr>
      <w:bookmarkStart w:id="0" w:name="_GoBack"/>
      <w:bookmarkEnd w:id="0"/>
      <w:r w:rsidRPr="00484CAA">
        <w:rPr>
          <w:rFonts w:ascii="Times New Roman" w:hAnsi="Times New Roman" w:cs="Times New Roman"/>
          <w:b/>
          <w:bCs/>
          <w:sz w:val="28"/>
          <w:szCs w:val="28"/>
        </w:rPr>
        <w:t>Додаток</w:t>
      </w:r>
      <w:r>
        <w:rPr>
          <w:rFonts w:ascii="Times New Roman" w:hAnsi="Times New Roman" w:cs="Times New Roman"/>
          <w:b/>
          <w:bCs/>
          <w:sz w:val="28"/>
          <w:szCs w:val="28"/>
          <w:lang w:val="en-US"/>
        </w:rPr>
        <w:t xml:space="preserve"> 8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Default="00AC5738" w:rsidP="007E3A04">
      <w:pPr>
        <w:spacing w:after="0" w:line="240" w:lineRule="auto"/>
        <w:jc w:val="center"/>
        <w:rPr>
          <w:rFonts w:ascii="Times New Roman" w:hAnsi="Times New Roman" w:cs="Times New Roman"/>
          <w:b/>
          <w:bCs/>
          <w:sz w:val="32"/>
          <w:szCs w:val="32"/>
          <w:lang w:val="en-US"/>
        </w:rPr>
      </w:pPr>
      <w:r w:rsidRPr="00504786">
        <w:rPr>
          <w:rFonts w:ascii="Times New Roman" w:hAnsi="Times New Roman" w:cs="Times New Roman"/>
          <w:b/>
          <w:bCs/>
          <w:sz w:val="32"/>
          <w:szCs w:val="32"/>
        </w:rPr>
        <w:t>«МІСЬКА ПОЛІКЛІНІКА №</w:t>
      </w:r>
      <w:r w:rsidR="00EF6A41">
        <w:rPr>
          <w:rFonts w:ascii="Times New Roman" w:hAnsi="Times New Roman" w:cs="Times New Roman"/>
          <w:b/>
          <w:bCs/>
          <w:sz w:val="32"/>
          <w:szCs w:val="32"/>
        </w:rPr>
        <w:t>1</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«Міська поліклініка №</w:t>
      </w:r>
      <w:r w:rsidR="00EF6A41">
        <w:rPr>
          <w:rFonts w:ascii="Times New Roman" w:hAnsi="Times New Roman" w:cs="Times New Roman"/>
          <w:sz w:val="28"/>
          <w:szCs w:val="28"/>
        </w:rPr>
        <w:t>1</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620EEB">
        <w:rPr>
          <w:rFonts w:ascii="Times New Roman" w:hAnsi="Times New Roman" w:cs="Times New Roman"/>
          <w:sz w:val="28"/>
          <w:szCs w:val="28"/>
        </w:rPr>
        <w:t xml:space="preserve"> надає медичну допомогу</w:t>
      </w:r>
      <w:r w:rsidR="00620EEB" w:rsidRPr="00620EEB">
        <w:rPr>
          <w:rFonts w:ascii="Times New Roman" w:hAnsi="Times New Roman" w:cs="Times New Roman"/>
          <w:sz w:val="28"/>
          <w:szCs w:val="28"/>
        </w:rPr>
        <w:t xml:space="preserve"> </w:t>
      </w:r>
      <w:r w:rsidR="004D2522">
        <w:rPr>
          <w:rFonts w:ascii="Times New Roman" w:hAnsi="Times New Roman" w:cs="Times New Roman"/>
          <w:sz w:val="28"/>
          <w:szCs w:val="28"/>
        </w:rPr>
        <w:t xml:space="preserve">населенню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«Міська поліклініка №</w:t>
      </w:r>
      <w:r w:rsidR="00EF6A41">
        <w:rPr>
          <w:rFonts w:ascii="Times New Roman" w:hAnsi="Times New Roman" w:cs="Times New Roman"/>
          <w:sz w:val="28"/>
          <w:szCs w:val="28"/>
        </w:rPr>
        <w:t>1</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«Міська поліклініка №</w:t>
      </w:r>
      <w:r w:rsidR="00EF6A41">
        <w:rPr>
          <w:rFonts w:ascii="Times New Roman" w:hAnsi="Times New Roman" w:cs="Times New Roman"/>
          <w:sz w:val="28"/>
          <w:szCs w:val="28"/>
        </w:rPr>
        <w:t>1</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«Міська поліклініка №</w:t>
      </w:r>
      <w:r w:rsidR="00EF6A41">
        <w:rPr>
          <w:rFonts w:ascii="Times New Roman" w:hAnsi="Times New Roman" w:cs="Times New Roman"/>
          <w:sz w:val="28"/>
          <w:szCs w:val="28"/>
        </w:rPr>
        <w:t>1</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620EEB" w:rsidRPr="00620EEB"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w:t>
      </w:r>
      <w:r w:rsidRPr="00504786">
        <w:rPr>
          <w:rFonts w:ascii="Times New Roman" w:hAnsi="Times New Roman" w:cs="Times New Roman"/>
          <w:sz w:val="28"/>
          <w:szCs w:val="28"/>
        </w:rPr>
        <w:lastRenderedPageBreak/>
        <w:t xml:space="preserve">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w:t>
      </w:r>
    </w:p>
    <w:p w:rsidR="00AC5738" w:rsidRPr="00504786" w:rsidRDefault="00866F6F" w:rsidP="00620EEB">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«МІСЬКА ПОЛІКЛІНІКА №</w:t>
      </w:r>
      <w:r w:rsidR="00EF6A41">
        <w:rPr>
          <w:rFonts w:ascii="Times New Roman" w:hAnsi="Times New Roman" w:cs="Times New Roman"/>
          <w:sz w:val="28"/>
          <w:szCs w:val="28"/>
        </w:rPr>
        <w:t>1</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«МІСЬКА ПОЛІК</w:t>
      </w:r>
      <w:r w:rsidRPr="00504786">
        <w:rPr>
          <w:rFonts w:ascii="Times New Roman" w:hAnsi="Times New Roman" w:cs="Times New Roman"/>
          <w:sz w:val="28"/>
          <w:szCs w:val="28"/>
        </w:rPr>
        <w:t>ЛІНІКА №</w:t>
      </w:r>
      <w:r w:rsidR="00EF6A41">
        <w:rPr>
          <w:rFonts w:ascii="Times New Roman" w:hAnsi="Times New Roman" w:cs="Times New Roman"/>
          <w:sz w:val="28"/>
          <w:szCs w:val="28"/>
        </w:rPr>
        <w:t>1</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00, м"/>
        </w:smartTagPr>
        <w:r w:rsidRPr="00504786">
          <w:rPr>
            <w:rFonts w:ascii="Times New Roman" w:hAnsi="Times New Roman" w:cs="Times New Roman"/>
            <w:sz w:val="28"/>
            <w:szCs w:val="28"/>
          </w:rPr>
          <w:t>58000, м</w:t>
        </w:r>
      </w:smartTag>
      <w:r w:rsidRPr="00504786">
        <w:rPr>
          <w:rFonts w:ascii="Times New Roman" w:hAnsi="Times New Roman" w:cs="Times New Roman"/>
          <w:sz w:val="28"/>
          <w:szCs w:val="28"/>
        </w:rPr>
        <w:t xml:space="preserve">. Чернівці, вул. </w:t>
      </w:r>
      <w:r w:rsidR="00035B5D" w:rsidRPr="00035B5D">
        <w:rPr>
          <w:rFonts w:ascii="Times New Roman" w:hAnsi="Times New Roman" w:cs="Times New Roman"/>
          <w:sz w:val="28"/>
          <w:szCs w:val="28"/>
        </w:rPr>
        <w:t>Шкільна</w:t>
      </w:r>
      <w:r w:rsidRPr="00504786">
        <w:rPr>
          <w:rFonts w:ascii="Times New Roman" w:hAnsi="Times New Roman" w:cs="Times New Roman"/>
          <w:sz w:val="28"/>
          <w:szCs w:val="28"/>
        </w:rPr>
        <w:t xml:space="preserve">, буд. </w:t>
      </w:r>
      <w:r w:rsidR="00035B5D">
        <w:rPr>
          <w:rFonts w:ascii="Times New Roman" w:hAnsi="Times New Roman" w:cs="Times New Roman"/>
          <w:sz w:val="28"/>
          <w:szCs w:val="28"/>
        </w:rPr>
        <w:t>6</w:t>
      </w:r>
      <w:r w:rsidRPr="00504786">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 xml:space="preserve">надання первинної, вторинної (спеціалізованої), інших видів медичної допомоги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620EEB" w:rsidRPr="00620EEB">
        <w:rPr>
          <w:color w:val="000000"/>
          <w:sz w:val="28"/>
          <w:szCs w:val="28"/>
          <w:lang w:val="ru-RU"/>
        </w:rPr>
        <w:t xml:space="preserve"> </w:t>
      </w:r>
      <w:r w:rsidR="00620EEB" w:rsidRPr="00620EEB">
        <w:rPr>
          <w:color w:val="000000"/>
          <w:sz w:val="28"/>
          <w:szCs w:val="28"/>
        </w:rPr>
        <w:t>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lastRenderedPageBreak/>
        <w:t>3.2.8.</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620EEB">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620EEB">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E51AC2">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дорослого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3.2.23.</w:t>
      </w:r>
      <w:r w:rsidR="002F56D5">
        <w:rPr>
          <w:color w:val="000000"/>
          <w:sz w:val="28"/>
          <w:szCs w:val="28"/>
        </w:rPr>
        <w:t xml:space="preserve"> </w:t>
      </w:r>
      <w:r>
        <w:rPr>
          <w:color w:val="000000"/>
          <w:sz w:val="28"/>
          <w:szCs w:val="28"/>
        </w:rPr>
        <w:t>З</w:t>
      </w:r>
      <w:r w:rsidR="002F56D5">
        <w:rPr>
          <w:color w:val="000000"/>
          <w:sz w:val="28"/>
          <w:szCs w:val="28"/>
        </w:rPr>
        <w:t xml:space="preserve">алучення медичних працівників для надання первинної та вторинної медичної допомоги, в тому числі залучення лікарів, що працюють як фізичні </w:t>
      </w:r>
      <w:r w:rsidR="002F56D5">
        <w:rPr>
          <w:color w:val="000000"/>
          <w:sz w:val="28"/>
          <w:szCs w:val="28"/>
        </w:rPr>
        <w:lastRenderedPageBreak/>
        <w:t>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w:t>
      </w:r>
      <w:r w:rsidR="00DB029C">
        <w:rPr>
          <w:color w:val="000000"/>
          <w:sz w:val="28"/>
          <w:szCs w:val="28"/>
        </w:rPr>
        <w:t>ою</w:t>
      </w:r>
      <w:r w:rsidR="002F56D5">
        <w:rPr>
          <w:color w:val="000000"/>
          <w:sz w:val="28"/>
          <w:szCs w:val="28"/>
        </w:rPr>
        <w:t xml:space="preserve"> служ</w:t>
      </w:r>
      <w:r>
        <w:rPr>
          <w:color w:val="000000"/>
          <w:sz w:val="28"/>
          <w:szCs w:val="28"/>
        </w:rPr>
        <w:t>б</w:t>
      </w:r>
      <w:r w:rsidR="00DB029C">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адання будь-яких</w:t>
      </w:r>
      <w:r w:rsidR="00DB029C">
        <w:rPr>
          <w:color w:val="000000"/>
          <w:sz w:val="28"/>
          <w:szCs w:val="28"/>
        </w:rPr>
        <w:t xml:space="preserve"> інших</w:t>
      </w:r>
      <w:r w:rsidR="002F56D5">
        <w:rPr>
          <w:color w:val="000000"/>
          <w:sz w:val="28"/>
          <w:szCs w:val="28"/>
        </w:rPr>
        <w:t xml:space="preserve"> послуг 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DB029C">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DB029C">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E51AC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E51AC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 xml:space="preserve">етім особам (юридичним чи фізичним особам) крім випадків, прямо передбачених законодавством. Усі питання, які стосуються </w:t>
      </w:r>
      <w:r w:rsidRPr="00504786">
        <w:rPr>
          <w:rFonts w:ascii="Times New Roman" w:hAnsi="Times New Roman" w:cs="Times New Roman"/>
          <w:sz w:val="28"/>
          <w:szCs w:val="28"/>
          <w:lang w:val="uk-UA"/>
        </w:rPr>
        <w:lastRenderedPageBreak/>
        <w:t>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EF490C">
        <w:rPr>
          <w:rFonts w:ascii="Times New Roman" w:hAnsi="Times New Roman" w:cs="Times New Roman"/>
          <w:sz w:val="28"/>
          <w:szCs w:val="28"/>
          <w:lang w:val="uk-UA"/>
        </w:rPr>
        <w:t>10229412</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EF490C">
        <w:rPr>
          <w:rFonts w:ascii="Times New Roman" w:hAnsi="Times New Roman" w:cs="Times New Roman"/>
          <w:sz w:val="28"/>
          <w:szCs w:val="28"/>
          <w:lang w:val="uk-UA"/>
        </w:rPr>
        <w:t>десять мільйонів двісті двадцять дев’ять тисяч чотириста дванадцять</w:t>
      </w:r>
      <w:r w:rsidRPr="00504786">
        <w:rPr>
          <w:rFonts w:ascii="Times New Roman" w:hAnsi="Times New Roman" w:cs="Times New Roman"/>
          <w:sz w:val="28"/>
          <w:szCs w:val="28"/>
          <w:lang w:val="uk-UA"/>
        </w:rPr>
        <w:t>) гривень</w:t>
      </w:r>
      <w:r w:rsidR="00EF490C">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w:t>
      </w:r>
      <w:r w:rsidR="00EF490C">
        <w:rPr>
          <w:rFonts w:ascii="Times New Roman" w:hAnsi="Times New Roman" w:cs="Times New Roman"/>
          <w:sz w:val="28"/>
          <w:szCs w:val="28"/>
          <w:lang w:val="uk-UA"/>
        </w:rPr>
        <w:t>0</w:t>
      </w:r>
      <w:r w:rsidRPr="00504786">
        <w:rPr>
          <w:rFonts w:ascii="Times New Roman" w:hAnsi="Times New Roman" w:cs="Times New Roman"/>
          <w:sz w:val="28"/>
          <w:szCs w:val="28"/>
          <w:lang w:val="uk-UA"/>
        </w:rPr>
        <w:t xml:space="preserve"> копійок.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w:t>
      </w:r>
      <w:r w:rsidRPr="00504786">
        <w:rPr>
          <w:rFonts w:ascii="Times New Roman" w:hAnsi="Times New Roman" w:cs="Times New Roman"/>
          <w:sz w:val="28"/>
          <w:szCs w:val="28"/>
          <w:lang w:val="uk-UA"/>
        </w:rPr>
        <w:lastRenderedPageBreak/>
        <w:t xml:space="preserve">(контракту,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523" w:rsidRDefault="00A90523">
      <w:pPr>
        <w:spacing w:after="0" w:line="240" w:lineRule="auto"/>
      </w:pPr>
      <w:r>
        <w:separator/>
      </w:r>
    </w:p>
  </w:endnote>
  <w:endnote w:type="continuationSeparator" w:id="0">
    <w:p w:rsidR="00A90523" w:rsidRDefault="00A9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523" w:rsidRDefault="00A90523">
      <w:pPr>
        <w:spacing w:after="0" w:line="240" w:lineRule="auto"/>
      </w:pPr>
      <w:r>
        <w:separator/>
      </w:r>
    </w:p>
  </w:footnote>
  <w:footnote w:type="continuationSeparator" w:id="0">
    <w:p w:rsidR="00A90523" w:rsidRDefault="00A90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2DB" w:rsidRDefault="006F02DB">
    <w:pPr>
      <w:pStyle w:val="a3"/>
      <w:jc w:val="center"/>
    </w:pPr>
    <w:r>
      <w:fldChar w:fldCharType="begin"/>
    </w:r>
    <w:r>
      <w:instrText>PAGE   \* MERGEFORMAT</w:instrText>
    </w:r>
    <w:r>
      <w:fldChar w:fldCharType="separate"/>
    </w:r>
    <w:r w:rsidR="00CB3D22" w:rsidRPr="00CB3D22">
      <w:rPr>
        <w:noProof/>
        <w:lang w:val="ru-RU"/>
      </w:rPr>
      <w:t>4</w:t>
    </w:r>
    <w:r>
      <w:fldChar w:fldCharType="end"/>
    </w:r>
  </w:p>
  <w:p w:rsidR="006F02DB" w:rsidRDefault="006F02D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2DB" w:rsidRDefault="006F02DB">
    <w:pPr>
      <w:pStyle w:val="a3"/>
      <w:jc w:val="center"/>
    </w:pPr>
  </w:p>
  <w:p w:rsidR="006F02DB" w:rsidRDefault="006F02D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6C68"/>
    <w:rsid w:val="00026F1C"/>
    <w:rsid w:val="00027B35"/>
    <w:rsid w:val="00035B5D"/>
    <w:rsid w:val="000461CF"/>
    <w:rsid w:val="00051363"/>
    <w:rsid w:val="00051D0E"/>
    <w:rsid w:val="000602A1"/>
    <w:rsid w:val="00065C23"/>
    <w:rsid w:val="00072F3E"/>
    <w:rsid w:val="00086E5E"/>
    <w:rsid w:val="000903F9"/>
    <w:rsid w:val="000A1B5B"/>
    <w:rsid w:val="000A1CF5"/>
    <w:rsid w:val="000B1534"/>
    <w:rsid w:val="000C4CDB"/>
    <w:rsid w:val="000C6D85"/>
    <w:rsid w:val="000D5250"/>
    <w:rsid w:val="000D7461"/>
    <w:rsid w:val="000E048B"/>
    <w:rsid w:val="00102769"/>
    <w:rsid w:val="00131DE0"/>
    <w:rsid w:val="001378E3"/>
    <w:rsid w:val="00157BD0"/>
    <w:rsid w:val="001649B6"/>
    <w:rsid w:val="00172D24"/>
    <w:rsid w:val="00182274"/>
    <w:rsid w:val="001832EF"/>
    <w:rsid w:val="00185CB9"/>
    <w:rsid w:val="001971A9"/>
    <w:rsid w:val="001A5290"/>
    <w:rsid w:val="001C5F35"/>
    <w:rsid w:val="001D1505"/>
    <w:rsid w:val="00245A0B"/>
    <w:rsid w:val="002534F3"/>
    <w:rsid w:val="002615EF"/>
    <w:rsid w:val="002A1C63"/>
    <w:rsid w:val="002A2A0F"/>
    <w:rsid w:val="002A7FF8"/>
    <w:rsid w:val="002B4D81"/>
    <w:rsid w:val="002C34EF"/>
    <w:rsid w:val="002C5908"/>
    <w:rsid w:val="002C5BCA"/>
    <w:rsid w:val="002D6C2D"/>
    <w:rsid w:val="002E201B"/>
    <w:rsid w:val="002E4ECD"/>
    <w:rsid w:val="002F21C8"/>
    <w:rsid w:val="002F56D5"/>
    <w:rsid w:val="003020D9"/>
    <w:rsid w:val="00323195"/>
    <w:rsid w:val="00384DDD"/>
    <w:rsid w:val="00395C5D"/>
    <w:rsid w:val="003A5C73"/>
    <w:rsid w:val="003C10C9"/>
    <w:rsid w:val="003C36CE"/>
    <w:rsid w:val="003D255A"/>
    <w:rsid w:val="003F2418"/>
    <w:rsid w:val="00405E99"/>
    <w:rsid w:val="00423B9C"/>
    <w:rsid w:val="004612E9"/>
    <w:rsid w:val="00476429"/>
    <w:rsid w:val="00484CAA"/>
    <w:rsid w:val="004867CF"/>
    <w:rsid w:val="004B357E"/>
    <w:rsid w:val="004B73DD"/>
    <w:rsid w:val="004D2522"/>
    <w:rsid w:val="004F0630"/>
    <w:rsid w:val="004F4D8B"/>
    <w:rsid w:val="00500633"/>
    <w:rsid w:val="00504786"/>
    <w:rsid w:val="0051127A"/>
    <w:rsid w:val="00524F48"/>
    <w:rsid w:val="00525391"/>
    <w:rsid w:val="00537FBC"/>
    <w:rsid w:val="00547561"/>
    <w:rsid w:val="00553BAB"/>
    <w:rsid w:val="0055612F"/>
    <w:rsid w:val="0057162D"/>
    <w:rsid w:val="0057293C"/>
    <w:rsid w:val="005736BA"/>
    <w:rsid w:val="0057448A"/>
    <w:rsid w:val="00582B30"/>
    <w:rsid w:val="00582D81"/>
    <w:rsid w:val="00592396"/>
    <w:rsid w:val="005928A4"/>
    <w:rsid w:val="005B7621"/>
    <w:rsid w:val="005E2E0A"/>
    <w:rsid w:val="005E3D85"/>
    <w:rsid w:val="005E683F"/>
    <w:rsid w:val="005F43E1"/>
    <w:rsid w:val="005F5404"/>
    <w:rsid w:val="005F61D3"/>
    <w:rsid w:val="00620EEB"/>
    <w:rsid w:val="0063544B"/>
    <w:rsid w:val="006A03F1"/>
    <w:rsid w:val="006B480B"/>
    <w:rsid w:val="006C6EEA"/>
    <w:rsid w:val="006E6586"/>
    <w:rsid w:val="006E70AB"/>
    <w:rsid w:val="006E7892"/>
    <w:rsid w:val="006F02DB"/>
    <w:rsid w:val="00707CA0"/>
    <w:rsid w:val="007364CB"/>
    <w:rsid w:val="00761E1E"/>
    <w:rsid w:val="00764BC0"/>
    <w:rsid w:val="00775A21"/>
    <w:rsid w:val="00776611"/>
    <w:rsid w:val="00782566"/>
    <w:rsid w:val="00782E85"/>
    <w:rsid w:val="007E3A04"/>
    <w:rsid w:val="007E52A9"/>
    <w:rsid w:val="007E52BF"/>
    <w:rsid w:val="00807CD2"/>
    <w:rsid w:val="00820BD2"/>
    <w:rsid w:val="00822CFA"/>
    <w:rsid w:val="00822DAF"/>
    <w:rsid w:val="008245B6"/>
    <w:rsid w:val="00824C4C"/>
    <w:rsid w:val="00866F6F"/>
    <w:rsid w:val="008856AD"/>
    <w:rsid w:val="00891BC8"/>
    <w:rsid w:val="008A0369"/>
    <w:rsid w:val="008C323A"/>
    <w:rsid w:val="008D2A80"/>
    <w:rsid w:val="008E141E"/>
    <w:rsid w:val="008F1797"/>
    <w:rsid w:val="00914553"/>
    <w:rsid w:val="009206BE"/>
    <w:rsid w:val="00926272"/>
    <w:rsid w:val="0094560B"/>
    <w:rsid w:val="00955B16"/>
    <w:rsid w:val="00961B7B"/>
    <w:rsid w:val="0096302B"/>
    <w:rsid w:val="009743EE"/>
    <w:rsid w:val="00993846"/>
    <w:rsid w:val="00994ABE"/>
    <w:rsid w:val="009A1F14"/>
    <w:rsid w:val="009A214B"/>
    <w:rsid w:val="009C44F1"/>
    <w:rsid w:val="009D041F"/>
    <w:rsid w:val="009D1E16"/>
    <w:rsid w:val="009E4BB8"/>
    <w:rsid w:val="009F6CF2"/>
    <w:rsid w:val="00A031E1"/>
    <w:rsid w:val="00A06750"/>
    <w:rsid w:val="00A11E4F"/>
    <w:rsid w:val="00A77D76"/>
    <w:rsid w:val="00A82A14"/>
    <w:rsid w:val="00A90523"/>
    <w:rsid w:val="00A93CB8"/>
    <w:rsid w:val="00A95524"/>
    <w:rsid w:val="00AB4DC6"/>
    <w:rsid w:val="00AC5738"/>
    <w:rsid w:val="00AD1AA4"/>
    <w:rsid w:val="00AE129A"/>
    <w:rsid w:val="00B07FAF"/>
    <w:rsid w:val="00B2094C"/>
    <w:rsid w:val="00B213F4"/>
    <w:rsid w:val="00B2362E"/>
    <w:rsid w:val="00B41FCC"/>
    <w:rsid w:val="00B4333F"/>
    <w:rsid w:val="00B43C91"/>
    <w:rsid w:val="00B57949"/>
    <w:rsid w:val="00B87747"/>
    <w:rsid w:val="00B952DD"/>
    <w:rsid w:val="00BA6DAA"/>
    <w:rsid w:val="00BB2D01"/>
    <w:rsid w:val="00BC08CA"/>
    <w:rsid w:val="00BE1A0E"/>
    <w:rsid w:val="00BF163B"/>
    <w:rsid w:val="00C04403"/>
    <w:rsid w:val="00C100C2"/>
    <w:rsid w:val="00C41D9B"/>
    <w:rsid w:val="00C42F13"/>
    <w:rsid w:val="00C5260E"/>
    <w:rsid w:val="00C53D12"/>
    <w:rsid w:val="00C5636C"/>
    <w:rsid w:val="00C61C42"/>
    <w:rsid w:val="00C67A7C"/>
    <w:rsid w:val="00C94242"/>
    <w:rsid w:val="00CA4B9B"/>
    <w:rsid w:val="00CB3D22"/>
    <w:rsid w:val="00CB6524"/>
    <w:rsid w:val="00CE77AA"/>
    <w:rsid w:val="00CF2BC3"/>
    <w:rsid w:val="00D003BF"/>
    <w:rsid w:val="00D06E62"/>
    <w:rsid w:val="00D071D6"/>
    <w:rsid w:val="00D34FF4"/>
    <w:rsid w:val="00D439DB"/>
    <w:rsid w:val="00D666E3"/>
    <w:rsid w:val="00D72CFC"/>
    <w:rsid w:val="00D869CF"/>
    <w:rsid w:val="00DA19DB"/>
    <w:rsid w:val="00DA525C"/>
    <w:rsid w:val="00DA5297"/>
    <w:rsid w:val="00DA65F8"/>
    <w:rsid w:val="00DB029C"/>
    <w:rsid w:val="00DD7CAC"/>
    <w:rsid w:val="00DE2944"/>
    <w:rsid w:val="00DF027A"/>
    <w:rsid w:val="00DF1EC5"/>
    <w:rsid w:val="00E07B55"/>
    <w:rsid w:val="00E115BF"/>
    <w:rsid w:val="00E15FBC"/>
    <w:rsid w:val="00E255FC"/>
    <w:rsid w:val="00E25E50"/>
    <w:rsid w:val="00E33EB7"/>
    <w:rsid w:val="00E3786A"/>
    <w:rsid w:val="00E51AC2"/>
    <w:rsid w:val="00E546BF"/>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29E8"/>
    <w:rsid w:val="00F83147"/>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19BBF8-9FB0-470C-9FE1-FD3ED5E7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5350</Words>
  <Characters>30497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2</cp:revision>
  <cp:lastPrinted>2018-06-19T09:10:00Z</cp:lastPrinted>
  <dcterms:created xsi:type="dcterms:W3CDTF">2018-07-26T15:18:00Z</dcterms:created>
  <dcterms:modified xsi:type="dcterms:W3CDTF">2018-07-26T15:18:00Z</dcterms:modified>
</cp:coreProperties>
</file>