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700" w:rsidRPr="009C21AA" w:rsidRDefault="002C52A0" w:rsidP="00017700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467995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700" w:rsidRPr="00017700" w:rsidRDefault="00017700" w:rsidP="00017700">
      <w:pPr>
        <w:pStyle w:val="a3"/>
        <w:spacing w:after="0" w:line="100" w:lineRule="atLeast"/>
        <w:rPr>
          <w:lang w:val="uk-UA"/>
        </w:rPr>
      </w:pPr>
    </w:p>
    <w:p w:rsidR="00017700" w:rsidRDefault="00017700" w:rsidP="00017700">
      <w:pPr>
        <w:pStyle w:val="a3"/>
        <w:spacing w:after="0" w:line="100" w:lineRule="atLeast"/>
        <w:jc w:val="center"/>
      </w:pPr>
      <w:r>
        <w:rPr>
          <w:rFonts w:ascii="Times New Roman" w:hAnsi="Times New Roman" w:cs="TimesNewRomanPS-BoldMT"/>
          <w:b/>
          <w:bCs/>
          <w:color w:val="000000"/>
          <w:sz w:val="36"/>
          <w:szCs w:val="36"/>
        </w:rPr>
        <w:t>У К Р А Н А</w:t>
      </w:r>
    </w:p>
    <w:p w:rsidR="00017700" w:rsidRDefault="00017700" w:rsidP="00017700">
      <w:pPr>
        <w:pStyle w:val="a3"/>
        <w:spacing w:after="0" w:line="100" w:lineRule="atLeast"/>
        <w:jc w:val="center"/>
      </w:pPr>
      <w:r>
        <w:rPr>
          <w:rFonts w:ascii="Times New Roman" w:hAnsi="Times New Roman" w:cs="TimesNewRomanPS-BoldMT"/>
          <w:b/>
          <w:bCs/>
          <w:color w:val="000000"/>
          <w:sz w:val="36"/>
          <w:szCs w:val="36"/>
        </w:rPr>
        <w:t>Чернівецька  міська рада</w:t>
      </w:r>
    </w:p>
    <w:p w:rsidR="00017700" w:rsidRDefault="00017700" w:rsidP="00017700">
      <w:pPr>
        <w:pStyle w:val="a3"/>
        <w:spacing w:after="0" w:line="100" w:lineRule="atLeast"/>
        <w:jc w:val="center"/>
      </w:pPr>
      <w:r>
        <w:rPr>
          <w:rFonts w:ascii="Times New Roman" w:hAnsi="Times New Roman" w:cs="TimesNewRomanPS-BoldMT"/>
          <w:b/>
          <w:bCs/>
          <w:color w:val="000000"/>
          <w:sz w:val="36"/>
          <w:szCs w:val="36"/>
          <w:lang w:val="uk-UA"/>
        </w:rPr>
        <w:t xml:space="preserve">44 </w:t>
      </w:r>
      <w:r>
        <w:rPr>
          <w:rFonts w:ascii="Times New Roman" w:hAnsi="Times New Roman" w:cs="TimesNewRomanPS-BoldMT"/>
          <w:b/>
          <w:bCs/>
          <w:color w:val="000000"/>
          <w:sz w:val="36"/>
          <w:szCs w:val="36"/>
        </w:rPr>
        <w:t xml:space="preserve">сесія  VIІ скликання </w:t>
      </w:r>
    </w:p>
    <w:p w:rsidR="00017700" w:rsidRDefault="00017700" w:rsidP="00017700">
      <w:pPr>
        <w:pStyle w:val="a3"/>
        <w:spacing w:after="0" w:line="100" w:lineRule="atLeast"/>
        <w:jc w:val="center"/>
      </w:pPr>
      <w:r>
        <w:rPr>
          <w:rFonts w:ascii="Times New Roman" w:hAnsi="Times New Roman" w:cs="TimesNewRomanPS-BoldMT"/>
          <w:b/>
          <w:bCs/>
          <w:color w:val="000000"/>
          <w:sz w:val="36"/>
          <w:szCs w:val="36"/>
        </w:rPr>
        <w:t>Р  І  Ш  Е  Н  Н  Я</w:t>
      </w:r>
    </w:p>
    <w:p w:rsidR="00017700" w:rsidRDefault="00017700" w:rsidP="00017700">
      <w:pPr>
        <w:pStyle w:val="a3"/>
        <w:spacing w:after="0" w:line="100" w:lineRule="atLeast"/>
      </w:pPr>
    </w:p>
    <w:p w:rsidR="00017700" w:rsidRPr="00017700" w:rsidRDefault="00017700" w:rsidP="00017700">
      <w:pPr>
        <w:pStyle w:val="a3"/>
        <w:tabs>
          <w:tab w:val="left" w:pos="1234"/>
          <w:tab w:val="left" w:pos="1759"/>
        </w:tabs>
        <w:spacing w:after="0" w:line="100" w:lineRule="atLeast"/>
        <w:ind w:left="525" w:right="-360"/>
        <w:jc w:val="center"/>
        <w:rPr>
          <w:lang w:val="uk-UA"/>
        </w:rPr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 07.12.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2017</w:t>
      </w:r>
      <w:r w:rsidR="003710DB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en-US"/>
        </w:rPr>
        <w:t xml:space="preserve"> 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№ </w:t>
      </w:r>
      <w:r w:rsidR="0085434B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982</w:t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  <w:t xml:space="preserve">               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м. Чернівці</w:t>
      </w:r>
    </w:p>
    <w:p w:rsidR="00017700" w:rsidRPr="00017700" w:rsidRDefault="00017700" w:rsidP="00017700">
      <w:pPr>
        <w:pStyle w:val="a3"/>
        <w:spacing w:after="0" w:line="100" w:lineRule="atLeast"/>
        <w:rPr>
          <w:lang w:val="uk-UA"/>
        </w:rPr>
      </w:pPr>
    </w:p>
    <w:p w:rsidR="00017700" w:rsidRPr="00017700" w:rsidRDefault="00017700" w:rsidP="00017700">
      <w:pPr>
        <w:pStyle w:val="a3"/>
        <w:spacing w:after="0" w:line="322" w:lineRule="exact"/>
        <w:ind w:left="510" w:right="-390"/>
        <w:jc w:val="center"/>
        <w:rPr>
          <w:lang w:val="uk-UA"/>
        </w:rPr>
      </w:pPr>
      <w:bookmarkStart w:id="0" w:name="_GoBack"/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Про звернення Чернівецької міської ради 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ІІ скликання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  </w:t>
      </w:r>
    </w:p>
    <w:p w:rsidR="00017700" w:rsidRDefault="00017700" w:rsidP="00017700">
      <w:pPr>
        <w:pStyle w:val="a3"/>
        <w:spacing w:after="0" w:line="322" w:lineRule="exact"/>
        <w:ind w:left="510" w:right="-390"/>
        <w:jc w:val="center"/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 xml:space="preserve">до Президента України, Верховної Ради України </w:t>
      </w:r>
    </w:p>
    <w:p w:rsidR="00017700" w:rsidRDefault="00017700" w:rsidP="00017700">
      <w:pPr>
        <w:pStyle w:val="a3"/>
        <w:spacing w:after="0" w:line="322" w:lineRule="exact"/>
        <w:ind w:left="510" w:right="-390"/>
        <w:jc w:val="center"/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>та Національного Банку України</w:t>
      </w:r>
      <w:bookmarkEnd w:id="0"/>
    </w:p>
    <w:p w:rsidR="00017700" w:rsidRDefault="00017700" w:rsidP="00017700">
      <w:pPr>
        <w:pStyle w:val="a3"/>
        <w:spacing w:after="0" w:line="100" w:lineRule="atLeast"/>
        <w:ind w:firstLine="851"/>
        <w:jc w:val="both"/>
      </w:pPr>
      <w:bookmarkStart w:id="1" w:name="_GoBack1"/>
      <w:bookmarkEnd w:id="1"/>
    </w:p>
    <w:p w:rsidR="00017700" w:rsidRDefault="00017700" w:rsidP="00017700">
      <w:pPr>
        <w:pStyle w:val="a3"/>
        <w:spacing w:after="0" w:line="100" w:lineRule="atLeast"/>
        <w:ind w:left="540" w:right="-405" w:firstLine="851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>Відповідно до Закону України «Про місцеве самоврядування в Україні», Закону України «Про платіжні системи та переказ коштів в Україні», Декрету Кабінету Міністрів України «Про систему валютного регулювання і валютного контролю», розуміючи, що однією з переваг, завдяки якій Україна може зайняти гідне місце в сучасному світі, є інновації, сприйняття та адаптація до найсучасніших рішень у IT-сфері, усвідомлюючи світові виклики, що вимагають від нас найрадикальніших змін у сферах економіки, фінансів та соціального захисту, з метою впровадження таких інноваційних змін, Чернівецька міська рада</w:t>
      </w:r>
    </w:p>
    <w:p w:rsidR="00017700" w:rsidRDefault="00017700" w:rsidP="00017700">
      <w:pPr>
        <w:pStyle w:val="a3"/>
        <w:spacing w:after="0" w:line="100" w:lineRule="atLeast"/>
        <w:ind w:left="540" w:right="-405" w:firstLine="851"/>
        <w:jc w:val="both"/>
      </w:pPr>
    </w:p>
    <w:p w:rsidR="00017700" w:rsidRDefault="00017700" w:rsidP="00017700">
      <w:pPr>
        <w:pStyle w:val="a3"/>
        <w:spacing w:after="0" w:line="100" w:lineRule="atLeast"/>
        <w:ind w:right="-390"/>
        <w:jc w:val="center"/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>ВИРІШИЛА :</w:t>
      </w:r>
    </w:p>
    <w:p w:rsidR="00017700" w:rsidRDefault="00017700" w:rsidP="00017700">
      <w:pPr>
        <w:pStyle w:val="a3"/>
        <w:spacing w:after="0" w:line="100" w:lineRule="atLeast"/>
        <w:ind w:left="555" w:right="-390"/>
        <w:jc w:val="center"/>
      </w:pPr>
    </w:p>
    <w:p w:rsidR="00017700" w:rsidRPr="00017700" w:rsidRDefault="00017700" w:rsidP="00017700">
      <w:pPr>
        <w:pStyle w:val="a3"/>
        <w:tabs>
          <w:tab w:val="left" w:pos="1264"/>
          <w:tab w:val="left" w:pos="1819"/>
          <w:tab w:val="left" w:pos="1981"/>
          <w:tab w:val="left" w:pos="2280"/>
        </w:tabs>
        <w:spacing w:after="0" w:line="100" w:lineRule="atLeast"/>
        <w:ind w:left="360" w:right="-390"/>
        <w:jc w:val="both"/>
        <w:rPr>
          <w:lang w:val="uk-UA"/>
        </w:rPr>
      </w:pP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MT"/>
          <w:b/>
          <w:color w:val="000000"/>
          <w:sz w:val="28"/>
          <w:szCs w:val="28"/>
          <w:lang w:val="uk-UA"/>
        </w:rPr>
        <w:t>1.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 </w:t>
      </w:r>
      <w:r w:rsidRPr="00017700"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Направити звернення Чернівецької міської ради </w:t>
      </w:r>
      <w:r>
        <w:rPr>
          <w:rFonts w:ascii="Times New Roman" w:hAnsi="Times New Roman" w:cs="TimesNewRomanPSMT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>ІІ скликання</w:t>
      </w:r>
      <w:r w:rsidRPr="00017700"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 до 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Президента України, Верховної Ради України та Національного Банку України</w:t>
      </w:r>
      <w:r w:rsidRPr="00017700"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 щодо створення законодавчих умов для розвитку в Україні сучасних фінансових технологій, краудфандингу 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>(додається)</w:t>
      </w:r>
      <w:r w:rsidRPr="00017700">
        <w:rPr>
          <w:rFonts w:ascii="Times New Roman" w:hAnsi="Times New Roman" w:cs="TimesNewRomanPSMT"/>
          <w:color w:val="000000"/>
          <w:sz w:val="28"/>
          <w:szCs w:val="28"/>
          <w:lang w:val="uk-UA"/>
        </w:rPr>
        <w:t>.</w:t>
      </w:r>
    </w:p>
    <w:p w:rsidR="00017700" w:rsidRDefault="00017700" w:rsidP="00017700">
      <w:pPr>
        <w:pStyle w:val="a3"/>
        <w:tabs>
          <w:tab w:val="left" w:pos="1264"/>
          <w:tab w:val="left" w:pos="1819"/>
          <w:tab w:val="left" w:pos="1981"/>
          <w:tab w:val="left" w:pos="2280"/>
        </w:tabs>
        <w:spacing w:after="0" w:line="100" w:lineRule="atLeast"/>
        <w:ind w:left="555" w:right="-390"/>
        <w:jc w:val="both"/>
        <w:rPr>
          <w:lang w:val="uk-UA"/>
        </w:rPr>
      </w:pPr>
    </w:p>
    <w:p w:rsidR="00017700" w:rsidRPr="00017700" w:rsidRDefault="00017700" w:rsidP="00017700">
      <w:pPr>
        <w:pStyle w:val="a3"/>
        <w:tabs>
          <w:tab w:val="left" w:pos="1264"/>
          <w:tab w:val="left" w:pos="1819"/>
          <w:tab w:val="left" w:pos="1981"/>
          <w:tab w:val="left" w:pos="2280"/>
        </w:tabs>
        <w:spacing w:after="0" w:line="100" w:lineRule="atLeast"/>
        <w:ind w:left="555" w:right="-390"/>
        <w:jc w:val="both"/>
        <w:rPr>
          <w:lang w:val="uk-UA"/>
        </w:rPr>
      </w:pPr>
      <w:r w:rsidRPr="00017700">
        <w:rPr>
          <w:rFonts w:ascii="Times New Roman" w:hAnsi="Times New Roman"/>
          <w:b/>
          <w:sz w:val="28"/>
          <w:szCs w:val="28"/>
          <w:lang w:val="uk-UA"/>
        </w:rPr>
        <w:tab/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Оприлюднити це звернення у газеті “Чернівці” т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>а на офіційному веб-порталі Чернівецької міської ради.</w:t>
      </w:r>
    </w:p>
    <w:p w:rsidR="00017700" w:rsidRPr="00017700" w:rsidRDefault="00017700" w:rsidP="00017700">
      <w:pPr>
        <w:pStyle w:val="a3"/>
        <w:tabs>
          <w:tab w:val="left" w:pos="1264"/>
          <w:tab w:val="left" w:pos="1819"/>
          <w:tab w:val="left" w:pos="1981"/>
          <w:tab w:val="left" w:pos="2280"/>
        </w:tabs>
        <w:spacing w:after="0" w:line="100" w:lineRule="atLeast"/>
        <w:ind w:left="555" w:right="-390" w:firstLine="555"/>
        <w:jc w:val="both"/>
        <w:rPr>
          <w:lang w:val="uk-UA"/>
        </w:rPr>
      </w:pPr>
    </w:p>
    <w:p w:rsidR="00017700" w:rsidRDefault="00017700" w:rsidP="00017700">
      <w:pPr>
        <w:pStyle w:val="a3"/>
        <w:tabs>
          <w:tab w:val="left" w:pos="1264"/>
          <w:tab w:val="left" w:pos="1819"/>
          <w:tab w:val="left" w:pos="1981"/>
          <w:tab w:val="left" w:pos="2280"/>
        </w:tabs>
        <w:spacing w:after="0" w:line="100" w:lineRule="atLeast"/>
        <w:ind w:left="555" w:right="-390"/>
        <w:jc w:val="both"/>
      </w:pP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MT"/>
          <w:b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 Організацію  виконання цього рішення покласти на  секретаря Чернівецької міської ради Продана В.С.</w:t>
      </w:r>
    </w:p>
    <w:p w:rsidR="00017700" w:rsidRDefault="00017700" w:rsidP="00017700">
      <w:pPr>
        <w:pStyle w:val="a3"/>
        <w:tabs>
          <w:tab w:val="left" w:pos="1309"/>
          <w:tab w:val="left" w:pos="1909"/>
          <w:tab w:val="left" w:pos="2071"/>
          <w:tab w:val="left" w:pos="2400"/>
        </w:tabs>
        <w:spacing w:after="0" w:line="100" w:lineRule="atLeast"/>
        <w:ind w:left="600" w:right="-390"/>
        <w:jc w:val="both"/>
      </w:pPr>
    </w:p>
    <w:p w:rsidR="00017700" w:rsidRDefault="00017700" w:rsidP="00017700">
      <w:pPr>
        <w:pStyle w:val="a3"/>
        <w:tabs>
          <w:tab w:val="left" w:pos="1309"/>
          <w:tab w:val="left" w:pos="1909"/>
          <w:tab w:val="left" w:pos="2071"/>
          <w:tab w:val="left" w:pos="2400"/>
        </w:tabs>
        <w:spacing w:after="0" w:line="100" w:lineRule="atLeast"/>
        <w:ind w:left="600" w:right="-390"/>
        <w:jc w:val="both"/>
      </w:pPr>
    </w:p>
    <w:p w:rsidR="00017700" w:rsidRDefault="00017700" w:rsidP="00017700">
      <w:pPr>
        <w:pStyle w:val="a3"/>
        <w:spacing w:after="0" w:line="100" w:lineRule="atLeast"/>
        <w:ind w:left="600" w:right="-390"/>
        <w:jc w:val="both"/>
      </w:pPr>
    </w:p>
    <w:p w:rsidR="00017700" w:rsidRDefault="00017700" w:rsidP="00017700">
      <w:pPr>
        <w:pStyle w:val="a3"/>
        <w:spacing w:after="0" w:line="100" w:lineRule="atLeast"/>
        <w:ind w:firstLine="851"/>
        <w:jc w:val="both"/>
      </w:pPr>
      <w:bookmarkStart w:id="2" w:name="DDE_LINK"/>
      <w:bookmarkEnd w:id="2"/>
    </w:p>
    <w:p w:rsidR="00017700" w:rsidRDefault="00017700" w:rsidP="00017700">
      <w:pPr>
        <w:pStyle w:val="a3"/>
        <w:spacing w:after="0" w:line="100" w:lineRule="atLeast"/>
        <w:jc w:val="center"/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</w:pPr>
    </w:p>
    <w:p w:rsidR="00017700" w:rsidRDefault="00017700" w:rsidP="00017700">
      <w:pPr>
        <w:pStyle w:val="a3"/>
        <w:spacing w:after="0" w:line="100" w:lineRule="atLeast"/>
        <w:jc w:val="center"/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>Чернівецький міський голова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  <w:t xml:space="preserve">     О.Каспрук</w:t>
      </w:r>
    </w:p>
    <w:p w:rsidR="00017700" w:rsidRDefault="00017700" w:rsidP="00017700">
      <w:pPr>
        <w:pStyle w:val="a3"/>
        <w:spacing w:after="100" w:line="100" w:lineRule="atLeast"/>
        <w:jc w:val="both"/>
      </w:pP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</w:rPr>
        <w:tab/>
      </w:r>
    </w:p>
    <w:p w:rsidR="00017700" w:rsidRPr="00017700" w:rsidRDefault="00017700" w:rsidP="0085434B">
      <w:pPr>
        <w:pStyle w:val="a3"/>
        <w:spacing w:after="100" w:line="100" w:lineRule="atLeast"/>
        <w:jc w:val="both"/>
        <w:rPr>
          <w:lang w:val="uk-UA"/>
        </w:rPr>
      </w:pPr>
    </w:p>
    <w:p w:rsidR="00017700" w:rsidRPr="00017700" w:rsidRDefault="00017700" w:rsidP="00017700">
      <w:pPr>
        <w:pStyle w:val="a3"/>
        <w:spacing w:after="100" w:line="100" w:lineRule="atLeast"/>
        <w:jc w:val="center"/>
        <w:rPr>
          <w:lang w:val="uk-UA"/>
        </w:rPr>
      </w:pP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Додаток </w:t>
      </w:r>
    </w:p>
    <w:p w:rsidR="00017700" w:rsidRPr="00017700" w:rsidRDefault="00017700" w:rsidP="00017700">
      <w:pPr>
        <w:pStyle w:val="a3"/>
        <w:tabs>
          <w:tab w:val="left" w:pos="5610"/>
        </w:tabs>
        <w:spacing w:after="100" w:line="100" w:lineRule="atLeast"/>
        <w:ind w:firstLine="5475"/>
        <w:jc w:val="both"/>
        <w:rPr>
          <w:lang w:val="uk-UA"/>
        </w:rPr>
      </w:pP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до рішення Чернівецької </w:t>
      </w:r>
    </w:p>
    <w:p w:rsidR="00017700" w:rsidRPr="00017700" w:rsidRDefault="00017700" w:rsidP="00017700">
      <w:pPr>
        <w:pStyle w:val="a3"/>
        <w:tabs>
          <w:tab w:val="left" w:pos="5610"/>
        </w:tabs>
        <w:spacing w:after="100" w:line="100" w:lineRule="atLeast"/>
        <w:ind w:firstLine="5475"/>
        <w:jc w:val="both"/>
        <w:rPr>
          <w:lang w:val="uk-UA"/>
        </w:rPr>
      </w:pP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ІІ скликанн</w:t>
      </w:r>
    </w:p>
    <w:p w:rsidR="00017700" w:rsidRDefault="00017700" w:rsidP="00017700">
      <w:pPr>
        <w:pStyle w:val="a3"/>
        <w:spacing w:after="100" w:line="100" w:lineRule="atLeast"/>
        <w:jc w:val="both"/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</w:pP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07.12.</w:t>
      </w:r>
      <w:r w:rsidRPr="00017700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 xml:space="preserve">2017№ </w:t>
      </w:r>
      <w:r w:rsidR="0085434B"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>982</w:t>
      </w:r>
    </w:p>
    <w:p w:rsidR="0085434B" w:rsidRPr="00017700" w:rsidRDefault="0085434B" w:rsidP="00017700">
      <w:pPr>
        <w:pStyle w:val="a3"/>
        <w:spacing w:after="100" w:line="100" w:lineRule="atLeast"/>
        <w:jc w:val="both"/>
        <w:rPr>
          <w:lang w:val="uk-UA"/>
        </w:rPr>
      </w:pPr>
    </w:p>
    <w:p w:rsidR="00017700" w:rsidRPr="00017700" w:rsidRDefault="00017700" w:rsidP="00017700">
      <w:pPr>
        <w:pStyle w:val="a3"/>
        <w:spacing w:after="100" w:line="100" w:lineRule="atLeast"/>
        <w:ind w:left="570" w:right="-480"/>
        <w:jc w:val="center"/>
        <w:rPr>
          <w:lang w:val="uk-UA"/>
        </w:rPr>
      </w:pPr>
      <w:r w:rsidRPr="00017700">
        <w:rPr>
          <w:rFonts w:ascii="Times New Roman" w:hAnsi="Times New Roman" w:cs="TimesNewRomanPSMT"/>
          <w:color w:val="000000"/>
          <w:sz w:val="28"/>
          <w:szCs w:val="28"/>
          <w:lang w:val="uk-UA"/>
        </w:rPr>
        <w:t>Звернення Чернівецької міської ради до</w:t>
      </w:r>
    </w:p>
    <w:p w:rsidR="00017700" w:rsidRDefault="00017700" w:rsidP="00017700">
      <w:pPr>
        <w:pStyle w:val="a3"/>
        <w:spacing w:after="100" w:line="100" w:lineRule="atLeast"/>
        <w:ind w:left="570" w:right="-480"/>
        <w:jc w:val="center"/>
      </w:pPr>
      <w:r>
        <w:rPr>
          <w:rFonts w:ascii="Times New Roman" w:hAnsi="Times New Roman" w:cs="TimesNewRomanPSMT"/>
          <w:color w:val="000000"/>
          <w:sz w:val="28"/>
          <w:szCs w:val="28"/>
        </w:rPr>
        <w:t>Президента України, Верховної Ради України та Національного Банку України</w:t>
      </w:r>
    </w:p>
    <w:p w:rsidR="00017700" w:rsidRDefault="00017700" w:rsidP="00017700">
      <w:pPr>
        <w:pStyle w:val="a3"/>
        <w:spacing w:after="100" w:line="100" w:lineRule="atLeast"/>
        <w:ind w:left="570" w:right="-480"/>
        <w:jc w:val="center"/>
      </w:pPr>
    </w:p>
    <w:p w:rsidR="00017700" w:rsidRDefault="00017700" w:rsidP="00017700">
      <w:pPr>
        <w:pStyle w:val="a3"/>
        <w:tabs>
          <w:tab w:val="left" w:pos="1309"/>
          <w:tab w:val="left" w:pos="2310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P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Більшість успішних страртапів та краудфандингових платформ, які мають українське коріння, об’єднує те, що місце їх юридичної реєстрації знаходиться поза межами країни. </w:t>
      </w:r>
      <w:r>
        <w:rPr>
          <w:rFonts w:ascii="Times New Roman" w:hAnsi="Times New Roman" w:cs="TimesNewRomanPSMT"/>
          <w:color w:val="000000"/>
          <w:sz w:val="28"/>
          <w:szCs w:val="28"/>
        </w:rPr>
        <w:t>Українські стартапери продовжують шукати юрисдикції, які максимально забезпечують вигідне нормативно-правове середовище для стартапів, розвитку блокчейну та «розумних контрактів».</w:t>
      </w:r>
    </w:p>
    <w:p w:rsidR="00017700" w:rsidRDefault="00017700" w:rsidP="00017700">
      <w:pPr>
        <w:pStyle w:val="a3"/>
        <w:tabs>
          <w:tab w:val="left" w:pos="1309"/>
          <w:tab w:val="left" w:pos="2340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MT"/>
          <w:color w:val="000000"/>
          <w:sz w:val="28"/>
          <w:szCs w:val="28"/>
        </w:rPr>
        <w:t>Створення такого середовища може стати суттєвою конкурентною перевагою України по відношенню до інших держав. Це сприятиме реєстрації і в подальшому сплаті податків в Україні не тільки українських, а й світових стартапів.</w:t>
      </w:r>
    </w:p>
    <w:p w:rsidR="00017700" w:rsidRDefault="0085434B" w:rsidP="00017700">
      <w:pPr>
        <w:pStyle w:val="a3"/>
        <w:tabs>
          <w:tab w:val="left" w:pos="1309"/>
          <w:tab w:val="left" w:pos="2310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="00017700">
        <w:rPr>
          <w:rFonts w:ascii="Times New Roman" w:hAnsi="Times New Roman" w:cs="TimesNewRomanPSMT"/>
          <w:color w:val="000000"/>
          <w:sz w:val="28"/>
          <w:szCs w:val="28"/>
        </w:rPr>
        <w:tab/>
        <w:t>Підтримка українським законодавством таких фінансових технологій, як ICO (initial coin offering), токен, краудфандинг, криптовалюти наблизить Україну до нового багатомільярдного ринку, що поки тільки формується у світі, і який може забезпечити прихід в Україну десятків мільярдів доларів інвестицій. Це у свою чергу дозволить створити нові високооплачувані робочі місця та прискорити розвиток науки та освіти у нашій державі.</w:t>
      </w:r>
    </w:p>
    <w:p w:rsidR="00017700" w:rsidRDefault="00017700" w:rsidP="00017700">
      <w:pPr>
        <w:pStyle w:val="a3"/>
        <w:tabs>
          <w:tab w:val="left" w:pos="1309"/>
          <w:tab w:val="left" w:pos="2325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MT"/>
          <w:color w:val="000000"/>
          <w:sz w:val="28"/>
          <w:szCs w:val="28"/>
        </w:rPr>
        <w:t>Саме за краудфандингом, а не за банківським кредитуванням, провідні спеціалисти світу вбачають основне джерело запозичень у майбутньому.</w:t>
      </w:r>
    </w:p>
    <w:p w:rsidR="00017700" w:rsidRDefault="00017700" w:rsidP="00017700">
      <w:pPr>
        <w:pStyle w:val="a3"/>
        <w:tabs>
          <w:tab w:val="left" w:pos="1309"/>
          <w:tab w:val="left" w:pos="2280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P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 xml:space="preserve">Технологія розподіленого реєстру дає можливість делегувати більшість державних функцій громадянському суспільству. </w:t>
      </w:r>
      <w:r>
        <w:rPr>
          <w:rFonts w:ascii="Times New Roman" w:hAnsi="Times New Roman" w:cs="TimesNewRomanPSMT"/>
          <w:color w:val="000000"/>
          <w:sz w:val="28"/>
          <w:szCs w:val="28"/>
        </w:rPr>
        <w:t>Державі не потрібно буде утримувати тисячі службовців, що створюють і контролюють дозвільну документацію. Такі сучасні технології дають можливість приватним юристам і фахівцям самостійо створювати всі необхідні дозвільні документи, залишаючи державі лише функцію перевірки дозвільну документацію у встановлений зконодавством строк. Після закінчення цього строку, дозвільній документації присвоюється штрихкод і вона вважається затвердженою.</w:t>
      </w:r>
    </w:p>
    <w:p w:rsidR="00017700" w:rsidRPr="0085434B" w:rsidRDefault="00017700" w:rsidP="00017700">
      <w:pPr>
        <w:pStyle w:val="a3"/>
        <w:tabs>
          <w:tab w:val="left" w:pos="1309"/>
          <w:tab w:val="left" w:pos="2295"/>
        </w:tabs>
        <w:spacing w:after="100" w:line="100" w:lineRule="atLeast"/>
        <w:ind w:left="600" w:right="-480" w:firstLine="15"/>
        <w:jc w:val="both"/>
        <w:rPr>
          <w:lang w:val="uk-UA"/>
        </w:rPr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P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>На сьогоднішній день, виборча, фінансова та система місцевого самоврядування лише виграють від запровадження  сучасних онлайн технологій та розподіленого реєстру.</w:t>
      </w:r>
    </w:p>
    <w:p w:rsidR="00017700" w:rsidRDefault="00017700" w:rsidP="00017700">
      <w:pPr>
        <w:pStyle w:val="a3"/>
        <w:tabs>
          <w:tab w:val="left" w:pos="1309"/>
          <w:tab w:val="left" w:pos="2295"/>
        </w:tabs>
        <w:spacing w:after="100" w:line="100" w:lineRule="atLeast"/>
        <w:ind w:left="600" w:right="-480" w:firstLine="15"/>
        <w:jc w:val="both"/>
      </w:pPr>
      <w:r w:rsidRP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MT"/>
          <w:color w:val="000000"/>
          <w:sz w:val="28"/>
          <w:szCs w:val="28"/>
        </w:rPr>
        <w:t xml:space="preserve">Боротьба з криптовалютами, яка ведеться у нашій та багатьох інших державах - позбавлена змісту та логіки. Мало для кого є таємницею те, запровадження національної криптовалюти може стати не лише інноваційним кроком, а й каталізатором та передумовою потужного вибухоподібного зростання національної економіки. Аніж боротися з науковим прогресом, буде </w:t>
      </w:r>
      <w:r>
        <w:rPr>
          <w:rFonts w:ascii="Times New Roman" w:hAnsi="Times New Roman" w:cs="TimesNewRomanPSMT"/>
          <w:color w:val="000000"/>
          <w:sz w:val="28"/>
          <w:szCs w:val="28"/>
        </w:rPr>
        <w:lastRenderedPageBreak/>
        <w:t>набагато розумніше - впровадити технології блокчену та криптовалют у фінансову систему держави так, щоб у виграші залишилися всі громадяни України. Для цього, на державному рівні потрібно розпочати обговорення запуску національної криптовалюти. Сучасні інтерпретації ідей Сільвіо Гезеля у поєднанні з блокчейн технологіями можуть дати сильний поштовх українській економіці, а у поєднанні з моделям безгрошового обміну на основі клірингових систем з автоматичними онлайн заліками, замінили би потребу фінансування та зовнішніх інвестицій.</w:t>
      </w:r>
    </w:p>
    <w:p w:rsidR="00017700" w:rsidRDefault="0085434B" w:rsidP="00017700">
      <w:pPr>
        <w:pStyle w:val="a3"/>
        <w:tabs>
          <w:tab w:val="left" w:pos="1309"/>
          <w:tab w:val="left" w:pos="2295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 w:rsidR="00017700">
        <w:rPr>
          <w:rFonts w:ascii="Times New Roman" w:hAnsi="Times New Roman" w:cs="TimesNewRomanPSMT"/>
          <w:color w:val="000000"/>
          <w:sz w:val="28"/>
          <w:szCs w:val="28"/>
        </w:rPr>
        <w:t>Сьогодні, при формуванні економіки нового тисячоліття, Україні нагально необхідно бути серед держав-лідерів у впровадженні досягнень сучасних технологій. Лише технологічне лідерство зможе забезпечити безхмарне майбутнє для нашої держави та новий якісний скачок розвитку вітчизняної економіки.</w:t>
      </w:r>
    </w:p>
    <w:p w:rsidR="00017700" w:rsidRDefault="00017700" w:rsidP="00017700">
      <w:pPr>
        <w:pStyle w:val="a3"/>
        <w:tabs>
          <w:tab w:val="left" w:pos="1309"/>
          <w:tab w:val="left" w:pos="2280"/>
        </w:tabs>
        <w:spacing w:after="100" w:line="100" w:lineRule="atLeast"/>
        <w:ind w:left="600" w:right="-480" w:firstLine="15"/>
        <w:jc w:val="both"/>
      </w:pPr>
      <w:r>
        <w:rPr>
          <w:rFonts w:ascii="Times New Roman" w:hAnsi="Times New Roman" w:cs="TimesNewRomanPSMT"/>
          <w:color w:val="000000"/>
          <w:sz w:val="28"/>
          <w:szCs w:val="28"/>
        </w:rPr>
        <w:tab/>
      </w:r>
      <w:r w:rsidR="0085434B">
        <w:rPr>
          <w:rFonts w:ascii="Times New Roman" w:hAnsi="Times New Roman" w:cs="TimesNewRomanPSMT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MT"/>
          <w:color w:val="000000"/>
          <w:sz w:val="28"/>
          <w:szCs w:val="28"/>
        </w:rPr>
        <w:t>Звертаємося до Вас з проханням про створення сприятливих умов для розвитку в Україні сучасних форм краудфандінгу, застосування блокчейн технологій у державному секторі та максимальної підтримки українських стартапів.</w:t>
      </w:r>
    </w:p>
    <w:p w:rsidR="00017700" w:rsidRDefault="00017700" w:rsidP="00017700">
      <w:pPr>
        <w:pStyle w:val="a3"/>
        <w:spacing w:after="100" w:line="100" w:lineRule="atLeast"/>
        <w:ind w:left="570" w:right="-480"/>
        <w:jc w:val="both"/>
      </w:pPr>
    </w:p>
    <w:p w:rsidR="00017700" w:rsidRDefault="00017700" w:rsidP="00017700">
      <w:pPr>
        <w:pStyle w:val="a3"/>
        <w:spacing w:after="100" w:line="100" w:lineRule="atLeast"/>
        <w:ind w:left="570" w:right="-480"/>
        <w:jc w:val="both"/>
      </w:pPr>
    </w:p>
    <w:p w:rsidR="00017700" w:rsidRDefault="00017700" w:rsidP="00017700">
      <w:pPr>
        <w:pStyle w:val="a3"/>
        <w:spacing w:after="100" w:line="100" w:lineRule="atLeast"/>
        <w:ind w:left="570" w:right="-480"/>
        <w:jc w:val="both"/>
      </w:pPr>
    </w:p>
    <w:p w:rsidR="00017700" w:rsidRDefault="00017700" w:rsidP="00017700">
      <w:pPr>
        <w:pStyle w:val="a3"/>
        <w:spacing w:after="0" w:line="100" w:lineRule="atLeast"/>
        <w:ind w:left="570" w:right="-480"/>
        <w:jc w:val="both"/>
      </w:pP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 xml:space="preserve">Чернівецький  міський голова </w:t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  <w:lang w:val="uk-UA"/>
        </w:rPr>
        <w:t>О.</w:t>
      </w:r>
      <w:r>
        <w:rPr>
          <w:rFonts w:ascii="Times New Roman" w:hAnsi="Times New Roman" w:cs="TimesNewRomanPSMT"/>
          <w:b/>
          <w:bCs/>
          <w:color w:val="000000"/>
          <w:sz w:val="28"/>
          <w:szCs w:val="28"/>
        </w:rPr>
        <w:t xml:space="preserve">Каспрук  </w:t>
      </w:r>
    </w:p>
    <w:p w:rsidR="00550CBB" w:rsidRDefault="00550CBB"/>
    <w:sectPr w:rsidR="00550CBB" w:rsidSect="00236A83">
      <w:pgSz w:w="11905" w:h="16837"/>
      <w:pgMar w:top="1133" w:right="1133" w:bottom="1133" w:left="1133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536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00"/>
    <w:rsid w:val="00017700"/>
    <w:rsid w:val="00071555"/>
    <w:rsid w:val="000E0C3D"/>
    <w:rsid w:val="00236A83"/>
    <w:rsid w:val="002C52A0"/>
    <w:rsid w:val="003710DB"/>
    <w:rsid w:val="00550CBB"/>
    <w:rsid w:val="0085434B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55243-192D-42CC-8BE9-02E6A8C6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70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Базовый"/>
    <w:rsid w:val="00017700"/>
    <w:pPr>
      <w:tabs>
        <w:tab w:val="left" w:pos="709"/>
      </w:tabs>
      <w:suppressAutoHyphens/>
      <w:spacing w:after="160" w:line="259" w:lineRule="atLeast"/>
    </w:pPr>
    <w:rPr>
      <w:rFonts w:ascii="Calibri" w:eastAsia="Arial Unicode MS" w:hAnsi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2017-12-13T08:26:00Z</cp:lastPrinted>
  <dcterms:created xsi:type="dcterms:W3CDTF">2017-12-21T14:00:00Z</dcterms:created>
  <dcterms:modified xsi:type="dcterms:W3CDTF">2017-12-21T14:00:00Z</dcterms:modified>
</cp:coreProperties>
</file>