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5BA" w:rsidRDefault="005F0105" w:rsidP="00B77701">
      <w:pPr>
        <w:pStyle w:val="210"/>
        <w:widowControl w:val="0"/>
        <w:jc w:val="center"/>
        <w:outlineLvl w:val="1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sz w:val="20"/>
          <w:szCs w:val="20"/>
          <w:lang w:val="ru-RU"/>
        </w:rPr>
        <w:drawing>
          <wp:inline distT="0" distB="0" distL="0" distR="0">
            <wp:extent cx="419100" cy="6477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5BA" w:rsidRDefault="002D75BA" w:rsidP="00B77701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D75BA" w:rsidRDefault="002D75BA" w:rsidP="00B77701">
      <w:pPr>
        <w:pStyle w:val="1"/>
        <w:widowControl w:val="0"/>
        <w:spacing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2D75BA" w:rsidRDefault="002D75BA" w:rsidP="00B77701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40 сесія  VIІ   скликання</w:t>
      </w:r>
    </w:p>
    <w:p w:rsidR="002D75BA" w:rsidRDefault="002D75BA" w:rsidP="00B77701">
      <w:pPr>
        <w:pStyle w:val="4"/>
        <w:widowControl w:val="0"/>
        <w:spacing w:line="240" w:lineRule="auto"/>
        <w:rPr>
          <w:b/>
          <w:bCs/>
        </w:rPr>
      </w:pPr>
      <w:r>
        <w:rPr>
          <w:b/>
          <w:bCs/>
        </w:rPr>
        <w:t>Р І Ш Е Н Н Я</w:t>
      </w:r>
    </w:p>
    <w:p w:rsidR="002D75BA" w:rsidRDefault="002D75BA" w:rsidP="00B77701"/>
    <w:p w:rsidR="002D75BA" w:rsidRDefault="002D75BA" w:rsidP="00B77701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2D75BA" w:rsidRDefault="002D75BA" w:rsidP="00D56AE9">
      <w:pPr>
        <w:widowControl w:val="0"/>
        <w:tabs>
          <w:tab w:val="left" w:pos="142"/>
        </w:tabs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04.10.2017  № </w:t>
      </w:r>
      <w:r w:rsidR="00223AE5">
        <w:rPr>
          <w:sz w:val="28"/>
          <w:szCs w:val="28"/>
        </w:rPr>
        <w:t xml:space="preserve"> 903</w:t>
      </w:r>
      <w:r>
        <w:rPr>
          <w:sz w:val="2"/>
          <w:szCs w:val="2"/>
        </w:rPr>
        <w:t xml:space="preserve">                                                           </w:t>
      </w:r>
      <w:r>
        <w:rPr>
          <w:sz w:val="2"/>
          <w:szCs w:val="2"/>
        </w:rPr>
        <w:tab/>
        <w:t xml:space="preserve">                        </w:t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"/>
          <w:szCs w:val="2"/>
        </w:rPr>
        <w:tab/>
        <w:t xml:space="preserve">                                                                                                                                                    </w:t>
      </w:r>
      <w:r>
        <w:rPr>
          <w:sz w:val="2"/>
          <w:szCs w:val="2"/>
        </w:rPr>
        <w:tab/>
      </w:r>
      <w:r>
        <w:rPr>
          <w:sz w:val="2"/>
          <w:szCs w:val="2"/>
        </w:rPr>
        <w:tab/>
      </w:r>
      <w:r>
        <w:rPr>
          <w:sz w:val="28"/>
          <w:szCs w:val="28"/>
        </w:rPr>
        <w:t xml:space="preserve">м. Чернівці </w:t>
      </w:r>
    </w:p>
    <w:p w:rsidR="002D75BA" w:rsidRDefault="002D75BA" w:rsidP="00D56AE9">
      <w:pPr>
        <w:widowControl w:val="0"/>
        <w:tabs>
          <w:tab w:val="left" w:pos="142"/>
        </w:tabs>
        <w:ind w:right="-284"/>
        <w:rPr>
          <w:sz w:val="28"/>
          <w:szCs w:val="28"/>
        </w:rPr>
      </w:pPr>
    </w:p>
    <w:p w:rsidR="002D75BA" w:rsidRDefault="002D75BA" w:rsidP="00D34345">
      <w:pPr>
        <w:widowControl w:val="0"/>
        <w:tabs>
          <w:tab w:val="left" w:pos="142"/>
          <w:tab w:val="left" w:pos="8292"/>
          <w:tab w:val="left" w:pos="8363"/>
        </w:tabs>
        <w:ind w:right="-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bookmarkStart w:id="0" w:name="_GoBack"/>
      <w:r>
        <w:rPr>
          <w:b/>
          <w:bCs/>
          <w:sz w:val="28"/>
          <w:szCs w:val="28"/>
        </w:rPr>
        <w:t xml:space="preserve">Про зміни та  доповнення в додаток 1 до Програми будівництва, </w:t>
      </w:r>
    </w:p>
    <w:p w:rsidR="002D75BA" w:rsidRDefault="002D75BA" w:rsidP="00D56AE9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28"/>
          <w:szCs w:val="28"/>
        </w:rPr>
        <w:t xml:space="preserve">реконструкції  та капітального ремонту об’єктів житлово-комунального господарства в м. Чернівцях на 2017 – 2020 роки  «Комфортне місто», затвердженої </w:t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рішенням міської ради </w:t>
      </w:r>
      <w:r>
        <w:rPr>
          <w:b/>
          <w:bCs/>
          <w:sz w:val="30"/>
          <w:szCs w:val="30"/>
        </w:rPr>
        <w:t>VIІ   скликання</w:t>
      </w: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  <w:r>
        <w:rPr>
          <w:b/>
          <w:bCs/>
          <w:sz w:val="28"/>
          <w:szCs w:val="28"/>
        </w:rPr>
        <w:t xml:space="preserve">  від 13.03.2017.  № 627, зі змінами</w:t>
      </w:r>
      <w:r>
        <w:rPr>
          <w:b/>
          <w:bCs/>
          <w:sz w:val="2"/>
          <w:szCs w:val="2"/>
        </w:rPr>
        <w:t xml:space="preserve">  </w:t>
      </w:r>
    </w:p>
    <w:bookmarkEnd w:id="0"/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0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  <w:r>
        <w:rPr>
          <w:b/>
          <w:bCs/>
          <w:sz w:val="2"/>
          <w:szCs w:val="2"/>
        </w:rPr>
        <w:t xml:space="preserve">                  </w:t>
      </w: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center"/>
        <w:rPr>
          <w:b/>
          <w:bCs/>
          <w:sz w:val="2"/>
          <w:szCs w:val="2"/>
        </w:rPr>
      </w:pPr>
    </w:p>
    <w:p w:rsidR="002D75BA" w:rsidRDefault="002D75BA" w:rsidP="00D56AE9">
      <w:pPr>
        <w:tabs>
          <w:tab w:val="left" w:pos="0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Відповідно до статей 26, 30, 60 Закону України «Про місцеве самоврядування в Україні», Бюджетного кодексу України, Законів України «Про охорону навколишнього природного середовища», «Про теплопостачання», «Про благоустрій населених пунктів», з метою забезпечення </w:t>
      </w:r>
      <w:r>
        <w:rPr>
          <w:color w:val="000000"/>
          <w:sz w:val="28"/>
          <w:szCs w:val="28"/>
        </w:rPr>
        <w:t>розвитку житлово-комунального господарства та міської інфраструктури</w:t>
      </w:r>
      <w:r>
        <w:rPr>
          <w:sz w:val="28"/>
          <w:szCs w:val="28"/>
        </w:rPr>
        <w:t xml:space="preserve">, на виконання ухвали суду від  19.06.2017р. про закриття провадження в адміністративній справі № 824/806/16-а за позовом Управління Держпраці у Чернівецькій області до  комунального підприємства «Чернівціміськліфт», а також  підписану Мирову  угоду в адміністративній  справі № 824/806/16-а, розглянувши пропозиції  департаменту житлово-комунального господарства міської ради, рекомендації постійних комісій  та депутатів міської ради </w:t>
      </w:r>
      <w:r>
        <w:rPr>
          <w:sz w:val="28"/>
          <w:szCs w:val="28"/>
        </w:rPr>
        <w:br/>
      </w:r>
      <w:r w:rsidRPr="00CB42CF">
        <w:rPr>
          <w:sz w:val="28"/>
          <w:szCs w:val="28"/>
        </w:rPr>
        <w:t>VIІ   скликання</w:t>
      </w:r>
      <w:r>
        <w:rPr>
          <w:sz w:val="28"/>
          <w:szCs w:val="28"/>
        </w:rPr>
        <w:t>, Чернівецька міська рада</w:t>
      </w:r>
    </w:p>
    <w:p w:rsidR="002D75BA" w:rsidRDefault="002D75BA" w:rsidP="00D56AE9">
      <w:pPr>
        <w:widowControl w:val="0"/>
        <w:tabs>
          <w:tab w:val="left" w:pos="142"/>
        </w:tabs>
        <w:jc w:val="both"/>
        <w:rPr>
          <w:sz w:val="28"/>
          <w:szCs w:val="28"/>
        </w:rPr>
      </w:pPr>
    </w:p>
    <w:p w:rsidR="002D75BA" w:rsidRDefault="002D75BA" w:rsidP="00D56AE9">
      <w:pPr>
        <w:widowControl w:val="0"/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Р І Ш И Л А: </w:t>
      </w:r>
    </w:p>
    <w:p w:rsidR="002D75BA" w:rsidRDefault="002D75BA" w:rsidP="00D56AE9">
      <w:pPr>
        <w:widowControl w:val="0"/>
        <w:tabs>
          <w:tab w:val="left" w:pos="142"/>
        </w:tabs>
        <w:jc w:val="both"/>
        <w:rPr>
          <w:b/>
          <w:bCs/>
          <w:sz w:val="28"/>
          <w:szCs w:val="28"/>
        </w:rPr>
      </w:pPr>
    </w:p>
    <w:p w:rsidR="002D75BA" w:rsidRDefault="002D75BA" w:rsidP="00AB5DD4">
      <w:pPr>
        <w:pStyle w:val="21"/>
        <w:tabs>
          <w:tab w:val="left" w:pos="142"/>
        </w:tabs>
        <w:spacing w:after="0" w:line="240" w:lineRule="auto"/>
        <w:ind w:left="0"/>
        <w:jc w:val="both"/>
        <w:rPr>
          <w:sz w:val="28"/>
          <w:szCs w:val="28"/>
        </w:rPr>
      </w:pPr>
      <w:r w:rsidRPr="00D56AE9">
        <w:rPr>
          <w:sz w:val="28"/>
          <w:szCs w:val="28"/>
        </w:rPr>
        <w:tab/>
      </w:r>
      <w:r w:rsidRPr="00D56AE9">
        <w:rPr>
          <w:sz w:val="28"/>
          <w:szCs w:val="28"/>
        </w:rPr>
        <w:tab/>
      </w:r>
      <w:r w:rsidRPr="001A2FD4">
        <w:rPr>
          <w:b/>
          <w:bCs/>
          <w:sz w:val="28"/>
          <w:szCs w:val="28"/>
        </w:rPr>
        <w:t>1.</w:t>
      </w:r>
      <w:r w:rsidRPr="00D56AE9">
        <w:rPr>
          <w:sz w:val="28"/>
          <w:szCs w:val="28"/>
        </w:rPr>
        <w:t xml:space="preserve"> Внести зміни в розділ «Комунальне господарство» </w:t>
      </w:r>
      <w:r>
        <w:rPr>
          <w:sz w:val="28"/>
          <w:szCs w:val="28"/>
        </w:rPr>
        <w:t xml:space="preserve">додатка 1 </w:t>
      </w:r>
      <w:r w:rsidRPr="00D56AE9">
        <w:rPr>
          <w:sz w:val="28"/>
          <w:szCs w:val="28"/>
        </w:rPr>
        <w:t xml:space="preserve"> до Програми будівництва,</w:t>
      </w:r>
      <w:r w:rsidRPr="00AB5DD4">
        <w:rPr>
          <w:sz w:val="28"/>
          <w:szCs w:val="28"/>
          <w:lang w:val="ru-RU"/>
        </w:rPr>
        <w:t xml:space="preserve"> </w:t>
      </w:r>
      <w:r w:rsidRPr="00D56AE9">
        <w:rPr>
          <w:sz w:val="28"/>
          <w:szCs w:val="28"/>
        </w:rPr>
        <w:t xml:space="preserve">реконструкції  та капітального ремонту об’єктів житлово-комунального господарства в м. Чернівцях на 2017 – 2020 роки  «Комфортне місто», затвердженої </w:t>
      </w:r>
      <w:r w:rsidRPr="00D56AE9">
        <w:rPr>
          <w:color w:val="FF0000"/>
          <w:sz w:val="28"/>
          <w:szCs w:val="28"/>
        </w:rPr>
        <w:t xml:space="preserve"> </w:t>
      </w:r>
      <w:r w:rsidRPr="00D56AE9">
        <w:rPr>
          <w:sz w:val="28"/>
          <w:szCs w:val="28"/>
        </w:rPr>
        <w:t>рішенням</w:t>
      </w:r>
      <w:r>
        <w:rPr>
          <w:sz w:val="28"/>
          <w:szCs w:val="28"/>
        </w:rPr>
        <w:t>и</w:t>
      </w:r>
      <w:r w:rsidRPr="00D56AE9">
        <w:rPr>
          <w:sz w:val="28"/>
          <w:szCs w:val="28"/>
        </w:rPr>
        <w:t xml:space="preserve"> міської ради VIІ   скликання</w:t>
      </w:r>
      <w:r>
        <w:rPr>
          <w:sz w:val="28"/>
          <w:szCs w:val="28"/>
        </w:rPr>
        <w:t xml:space="preserve"> </w:t>
      </w:r>
      <w:r w:rsidRPr="00D56AE9">
        <w:rPr>
          <w:sz w:val="28"/>
          <w:szCs w:val="28"/>
        </w:rPr>
        <w:t>від 13.03.2017.  № 627, зі змінами</w:t>
      </w:r>
      <w:r>
        <w:rPr>
          <w:sz w:val="28"/>
          <w:szCs w:val="28"/>
        </w:rPr>
        <w:t xml:space="preserve">  від 05.09.2017р. № 882, а саме:</w:t>
      </w:r>
      <w:r w:rsidRPr="00B05EDA">
        <w:rPr>
          <w:sz w:val="28"/>
          <w:szCs w:val="28"/>
        </w:rPr>
        <w:t xml:space="preserve"> </w:t>
      </w:r>
    </w:p>
    <w:p w:rsidR="009F641F" w:rsidRPr="00B05EDA" w:rsidRDefault="009F641F" w:rsidP="00AB5DD4">
      <w:pPr>
        <w:pStyle w:val="21"/>
        <w:tabs>
          <w:tab w:val="left" w:pos="142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2D75BA" w:rsidRDefault="002D75BA" w:rsidP="00AB5DD4">
      <w:pPr>
        <w:pStyle w:val="21"/>
        <w:tabs>
          <w:tab w:val="left" w:pos="142"/>
        </w:tabs>
        <w:spacing w:after="0" w:line="240" w:lineRule="auto"/>
        <w:ind w:left="0"/>
        <w:jc w:val="both"/>
        <w:rPr>
          <w:sz w:val="28"/>
          <w:szCs w:val="28"/>
        </w:rPr>
      </w:pPr>
      <w:r w:rsidRPr="00B05ED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B72E2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У  підрозділ «По капітальних видатках, де замовником </w:t>
      </w:r>
      <w:r w:rsidRPr="00D56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 </w:t>
      </w:r>
      <w:r>
        <w:rPr>
          <w:sz w:val="28"/>
          <w:szCs w:val="28"/>
        </w:rPr>
        <w:br/>
        <w:t>КП «Чернівціміськліфт» включити  об’єкти з капітального ремонту ліфтів (додаються).</w:t>
      </w:r>
    </w:p>
    <w:p w:rsidR="002D75BA" w:rsidRPr="009F641F" w:rsidRDefault="002D75BA" w:rsidP="00AB5DD4">
      <w:pPr>
        <w:pStyle w:val="21"/>
        <w:tabs>
          <w:tab w:val="left" w:pos="142"/>
        </w:tabs>
        <w:spacing w:after="0" w:line="240" w:lineRule="auto"/>
        <w:ind w:left="0"/>
        <w:jc w:val="both"/>
        <w:rPr>
          <w:sz w:val="24"/>
          <w:szCs w:val="24"/>
        </w:rPr>
      </w:pPr>
    </w:p>
    <w:p w:rsidR="002D75BA" w:rsidRDefault="002D75BA" w:rsidP="00162EE5">
      <w:pPr>
        <w:pStyle w:val="4"/>
        <w:widowControl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D5C49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Включити  підрозділ «По капітальних видатках, де замовником є </w:t>
      </w:r>
      <w:r>
        <w:rPr>
          <w:sz w:val="28"/>
          <w:szCs w:val="28"/>
        </w:rPr>
        <w:br/>
        <w:t>КП «</w:t>
      </w:r>
      <w:r w:rsidRPr="00162EE5">
        <w:rPr>
          <w:sz w:val="28"/>
          <w:szCs w:val="28"/>
        </w:rPr>
        <w:t>Чернівецьке тролейбусне управління»</w:t>
      </w:r>
      <w:r>
        <w:rPr>
          <w:sz w:val="28"/>
          <w:szCs w:val="28"/>
        </w:rPr>
        <w:t>,</w:t>
      </w:r>
      <w:r w:rsidRPr="00162EE5">
        <w:rPr>
          <w:sz w:val="28"/>
          <w:szCs w:val="28"/>
        </w:rPr>
        <w:t xml:space="preserve"> </w:t>
      </w:r>
      <w:r>
        <w:rPr>
          <w:sz w:val="28"/>
          <w:szCs w:val="28"/>
        </w:rPr>
        <w:t>в якому  передбачити</w:t>
      </w:r>
      <w:r w:rsidRPr="00162EE5">
        <w:rPr>
          <w:sz w:val="28"/>
          <w:szCs w:val="28"/>
        </w:rPr>
        <w:t xml:space="preserve"> придбання автобусів для перевезення  пасажирів  на міських автобусних маршрутах</w:t>
      </w:r>
      <w:r>
        <w:rPr>
          <w:sz w:val="28"/>
          <w:szCs w:val="28"/>
        </w:rPr>
        <w:t xml:space="preserve"> (додається).</w:t>
      </w:r>
    </w:p>
    <w:p w:rsidR="009F641F" w:rsidRDefault="009F641F" w:rsidP="009F641F"/>
    <w:p w:rsidR="009F641F" w:rsidRPr="009F641F" w:rsidRDefault="009F641F" w:rsidP="009F641F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2D75BA" w:rsidRPr="00D34345" w:rsidRDefault="002D75BA" w:rsidP="00D34345"/>
    <w:p w:rsidR="002D75BA" w:rsidRDefault="002D75BA" w:rsidP="00BA1A5F">
      <w:pPr>
        <w:ind w:firstLine="708"/>
        <w:jc w:val="both"/>
        <w:rPr>
          <w:sz w:val="28"/>
          <w:szCs w:val="28"/>
        </w:rPr>
      </w:pPr>
      <w:r w:rsidRPr="000D5C49">
        <w:rPr>
          <w:b/>
          <w:bCs/>
          <w:sz w:val="28"/>
          <w:szCs w:val="28"/>
        </w:rPr>
        <w:t>1.3</w:t>
      </w:r>
      <w:r>
        <w:rPr>
          <w:sz w:val="28"/>
          <w:szCs w:val="28"/>
        </w:rPr>
        <w:t xml:space="preserve">. У  підрозділі «По капітальних видатках, де замовником є </w:t>
      </w:r>
      <w:r w:rsidRPr="00162EE5">
        <w:rPr>
          <w:sz w:val="28"/>
          <w:szCs w:val="28"/>
        </w:rPr>
        <w:t>МКП «Чернівціспецкомунтранс»</w:t>
      </w:r>
      <w:r>
        <w:rPr>
          <w:sz w:val="28"/>
          <w:szCs w:val="28"/>
        </w:rPr>
        <w:t xml:space="preserve"> передбачити придбання  вантажного автомобілю  з гідробортом  та придбання контейнерів для роздільного збирання  сміття (додається).</w:t>
      </w:r>
    </w:p>
    <w:p w:rsidR="002D75BA" w:rsidRDefault="002D75BA" w:rsidP="00BA1A5F">
      <w:pPr>
        <w:ind w:firstLine="708"/>
        <w:jc w:val="both"/>
        <w:rPr>
          <w:sz w:val="28"/>
          <w:szCs w:val="28"/>
        </w:rPr>
      </w:pPr>
    </w:p>
    <w:p w:rsidR="002D75BA" w:rsidRDefault="002D75BA" w:rsidP="00BA1A5F">
      <w:pPr>
        <w:ind w:firstLine="708"/>
        <w:jc w:val="both"/>
        <w:rPr>
          <w:sz w:val="28"/>
          <w:szCs w:val="28"/>
        </w:rPr>
      </w:pPr>
      <w:r w:rsidRPr="000D5C49">
        <w:rPr>
          <w:b/>
          <w:bCs/>
          <w:sz w:val="28"/>
          <w:szCs w:val="28"/>
        </w:rPr>
        <w:t>1.4.</w:t>
      </w:r>
      <w:r>
        <w:rPr>
          <w:sz w:val="28"/>
          <w:szCs w:val="28"/>
        </w:rPr>
        <w:t xml:space="preserve"> У підрозділі «Загальноміські заходи» розділу «Будівництво, реконструкція та капітальний ремонт доріг м.Чернівців»: </w:t>
      </w:r>
    </w:p>
    <w:p w:rsidR="002D75BA" w:rsidRDefault="002D75BA" w:rsidP="00BA1A5F">
      <w:pPr>
        <w:ind w:firstLine="708"/>
        <w:jc w:val="both"/>
        <w:rPr>
          <w:sz w:val="28"/>
          <w:szCs w:val="28"/>
          <w:lang w:val="ru-RU"/>
        </w:rPr>
      </w:pPr>
      <w:r w:rsidRPr="00D34345">
        <w:rPr>
          <w:b/>
          <w:bCs/>
          <w:sz w:val="28"/>
          <w:szCs w:val="28"/>
        </w:rPr>
        <w:t>1.4.1</w:t>
      </w:r>
      <w:r>
        <w:rPr>
          <w:sz w:val="28"/>
          <w:szCs w:val="28"/>
        </w:rPr>
        <w:t xml:space="preserve">  В пункті 142 назву об’єкта «Капітальний ремонт 2 провулку Курильського (співфінансування) – читати </w:t>
      </w:r>
      <w:r w:rsidRPr="000D5C49">
        <w:rPr>
          <w:b/>
          <w:bCs/>
          <w:sz w:val="28"/>
          <w:szCs w:val="28"/>
        </w:rPr>
        <w:t>«Капітальний  ремонт провулку Курильського (співфінансування)</w:t>
      </w:r>
      <w:r w:rsidRPr="000D5C49"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>.</w:t>
      </w:r>
    </w:p>
    <w:p w:rsidR="002D75BA" w:rsidRDefault="002D75BA" w:rsidP="00162EE5">
      <w:pPr>
        <w:jc w:val="both"/>
        <w:rPr>
          <w:sz w:val="28"/>
          <w:szCs w:val="28"/>
        </w:rPr>
      </w:pPr>
      <w:r>
        <w:tab/>
      </w:r>
      <w:r w:rsidRPr="00445AE5">
        <w:rPr>
          <w:b/>
          <w:bCs/>
          <w:sz w:val="28"/>
          <w:szCs w:val="28"/>
        </w:rPr>
        <w:t>1.4.2.</w:t>
      </w:r>
      <w:r>
        <w:rPr>
          <w:sz w:val="28"/>
          <w:szCs w:val="28"/>
        </w:rPr>
        <w:t xml:space="preserve"> В пункті 104 назву об’єкта «Капітальний  ремонт вул.Запорізької (від вул. З.Космодем’янської до гаражного кооперативу)»  - читати «</w:t>
      </w:r>
      <w:r w:rsidRPr="003F59E9">
        <w:rPr>
          <w:b/>
          <w:bCs/>
          <w:sz w:val="28"/>
          <w:szCs w:val="28"/>
        </w:rPr>
        <w:t>Капітальний  ремонт вул.Запорізької (від вул.Пумнула до гаражного кооперативу)</w:t>
      </w:r>
      <w:r>
        <w:rPr>
          <w:sz w:val="28"/>
          <w:szCs w:val="28"/>
        </w:rPr>
        <w:t xml:space="preserve">» </w:t>
      </w:r>
      <w:r w:rsidRPr="00B05EDA">
        <w:rPr>
          <w:i/>
          <w:iCs/>
          <w:sz w:val="28"/>
          <w:szCs w:val="28"/>
        </w:rPr>
        <w:t xml:space="preserve">та  </w:t>
      </w:r>
      <w:r>
        <w:rPr>
          <w:sz w:val="28"/>
          <w:szCs w:val="28"/>
        </w:rPr>
        <w:t>змінити  суму коштів: замість «</w:t>
      </w:r>
      <w:r w:rsidRPr="003F59E9">
        <w:rPr>
          <w:sz w:val="28"/>
          <w:szCs w:val="28"/>
        </w:rPr>
        <w:t>1 520 000,00</w:t>
      </w:r>
      <w:r>
        <w:rPr>
          <w:sz w:val="28"/>
          <w:szCs w:val="28"/>
        </w:rPr>
        <w:t>» читати  «</w:t>
      </w:r>
      <w:r w:rsidRPr="000D5C49">
        <w:rPr>
          <w:b/>
          <w:bCs/>
          <w:sz w:val="28"/>
          <w:szCs w:val="28"/>
        </w:rPr>
        <w:t>800 000,00 грн</w:t>
      </w:r>
      <w:r>
        <w:rPr>
          <w:sz w:val="28"/>
          <w:szCs w:val="28"/>
        </w:rPr>
        <w:t>.».</w:t>
      </w:r>
    </w:p>
    <w:p w:rsidR="002D75BA" w:rsidRDefault="002D75BA" w:rsidP="00162EE5">
      <w:pPr>
        <w:jc w:val="both"/>
        <w:rPr>
          <w:sz w:val="28"/>
          <w:szCs w:val="28"/>
        </w:rPr>
      </w:pPr>
    </w:p>
    <w:p w:rsidR="002D75BA" w:rsidRDefault="002D75BA" w:rsidP="00162E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4345">
        <w:rPr>
          <w:b/>
          <w:bCs/>
          <w:sz w:val="28"/>
          <w:szCs w:val="28"/>
        </w:rPr>
        <w:t>1.5.</w:t>
      </w:r>
      <w:r>
        <w:rPr>
          <w:sz w:val="28"/>
          <w:szCs w:val="28"/>
        </w:rPr>
        <w:t xml:space="preserve">  У підрозділі «Загальноміські заходи» розділу «Капітальний ремонт міжбудинкових проїздів»:</w:t>
      </w:r>
    </w:p>
    <w:p w:rsidR="002D75BA" w:rsidRDefault="002D75BA" w:rsidP="00162E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4345">
        <w:rPr>
          <w:b/>
          <w:bCs/>
          <w:sz w:val="28"/>
          <w:szCs w:val="28"/>
        </w:rPr>
        <w:t>1.5.1.</w:t>
      </w:r>
      <w:r>
        <w:rPr>
          <w:sz w:val="28"/>
          <w:szCs w:val="28"/>
        </w:rPr>
        <w:t xml:space="preserve"> В пункті 11 змінити  нумерацію будівель об’єкта «Капітальний ремонт міжбудинкового проїзду на вул.В.Комарова,11, 13, 9-А/А  і  9-А/Б» - читати «</w:t>
      </w:r>
      <w:r w:rsidRPr="003F59E9">
        <w:rPr>
          <w:b/>
          <w:bCs/>
          <w:sz w:val="28"/>
          <w:szCs w:val="28"/>
        </w:rPr>
        <w:t>Капітальний ремонт міжбудинкового проїзду на вул.В.Комарова,11, 13 та</w:t>
      </w:r>
      <w:r>
        <w:rPr>
          <w:b/>
          <w:bCs/>
          <w:sz w:val="28"/>
          <w:szCs w:val="28"/>
        </w:rPr>
        <w:t xml:space="preserve"> </w:t>
      </w:r>
      <w:r w:rsidRPr="003F59E9">
        <w:rPr>
          <w:b/>
          <w:bCs/>
          <w:sz w:val="28"/>
          <w:szCs w:val="28"/>
        </w:rPr>
        <w:t>13-Б</w:t>
      </w:r>
      <w:r>
        <w:rPr>
          <w:sz w:val="28"/>
          <w:szCs w:val="28"/>
        </w:rPr>
        <w:t>»;</w:t>
      </w:r>
    </w:p>
    <w:p w:rsidR="002D75BA" w:rsidRDefault="002D75BA" w:rsidP="00162E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4345">
        <w:rPr>
          <w:b/>
          <w:bCs/>
          <w:sz w:val="28"/>
          <w:szCs w:val="28"/>
        </w:rPr>
        <w:t>1.5.2.</w:t>
      </w:r>
      <w:r>
        <w:rPr>
          <w:sz w:val="28"/>
          <w:szCs w:val="28"/>
        </w:rPr>
        <w:t xml:space="preserve">  В пункті 135 щодо капітального ремонту міжбудинкового проїзду на вул. В.Комарова,31-Б </w:t>
      </w:r>
      <w:r w:rsidRPr="000D3B74">
        <w:rPr>
          <w:sz w:val="28"/>
          <w:szCs w:val="28"/>
        </w:rPr>
        <w:t>суму</w:t>
      </w:r>
      <w:r>
        <w:rPr>
          <w:sz w:val="28"/>
          <w:szCs w:val="28"/>
        </w:rPr>
        <w:t xml:space="preserve"> 400 000,00 грн. </w:t>
      </w:r>
      <w:r w:rsidRPr="0006492A">
        <w:rPr>
          <w:b/>
          <w:bCs/>
          <w:sz w:val="28"/>
          <w:szCs w:val="28"/>
        </w:rPr>
        <w:t>зменшити</w:t>
      </w:r>
      <w:r w:rsidRPr="0057247D">
        <w:rPr>
          <w:b/>
          <w:bCs/>
          <w:sz w:val="28"/>
          <w:szCs w:val="28"/>
        </w:rPr>
        <w:t xml:space="preserve"> на 265 000,00 </w:t>
      </w:r>
      <w:r w:rsidRPr="000D3B74">
        <w:rPr>
          <w:b/>
          <w:bCs/>
          <w:sz w:val="28"/>
          <w:szCs w:val="28"/>
        </w:rPr>
        <w:t>грн.,</w:t>
      </w:r>
      <w:r>
        <w:rPr>
          <w:sz w:val="28"/>
          <w:szCs w:val="28"/>
        </w:rPr>
        <w:t xml:space="preserve">                     </w:t>
      </w:r>
      <w:r w:rsidRPr="0057247D">
        <w:rPr>
          <w:b/>
          <w:bCs/>
          <w:sz w:val="28"/>
          <w:szCs w:val="28"/>
        </w:rPr>
        <w:t>затверди</w:t>
      </w:r>
      <w:r>
        <w:rPr>
          <w:b/>
          <w:bCs/>
          <w:sz w:val="28"/>
          <w:szCs w:val="28"/>
        </w:rPr>
        <w:t>вши</w:t>
      </w:r>
      <w:r w:rsidRPr="0057247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суму </w:t>
      </w:r>
      <w:r w:rsidRPr="0057247D">
        <w:rPr>
          <w:b/>
          <w:bCs/>
          <w:sz w:val="28"/>
          <w:szCs w:val="28"/>
        </w:rPr>
        <w:t>135 000,00</w:t>
      </w:r>
      <w:r>
        <w:rPr>
          <w:b/>
          <w:bCs/>
          <w:sz w:val="28"/>
          <w:szCs w:val="28"/>
        </w:rPr>
        <w:t xml:space="preserve"> </w:t>
      </w:r>
      <w:r w:rsidRPr="0057247D">
        <w:rPr>
          <w:b/>
          <w:bCs/>
          <w:sz w:val="28"/>
          <w:szCs w:val="28"/>
        </w:rPr>
        <w:t>грн</w:t>
      </w:r>
      <w:r>
        <w:rPr>
          <w:sz w:val="28"/>
          <w:szCs w:val="28"/>
        </w:rPr>
        <w:t>.</w:t>
      </w:r>
    </w:p>
    <w:p w:rsidR="002D75BA" w:rsidRPr="00AB5DD4" w:rsidRDefault="002D75BA" w:rsidP="00162E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4345">
        <w:rPr>
          <w:b/>
          <w:bCs/>
          <w:sz w:val="28"/>
          <w:szCs w:val="28"/>
        </w:rPr>
        <w:t>1.5.3.</w:t>
      </w:r>
      <w:r>
        <w:rPr>
          <w:sz w:val="28"/>
          <w:szCs w:val="28"/>
        </w:rPr>
        <w:t xml:space="preserve"> В пункті 160 щодо  ка</w:t>
      </w:r>
      <w:r w:rsidRPr="003F59E9">
        <w:rPr>
          <w:b/>
          <w:bCs/>
          <w:sz w:val="28"/>
          <w:szCs w:val="28"/>
        </w:rPr>
        <w:t>пітальн</w:t>
      </w:r>
      <w:r>
        <w:rPr>
          <w:b/>
          <w:bCs/>
          <w:sz w:val="28"/>
          <w:szCs w:val="28"/>
        </w:rPr>
        <w:t>ого</w:t>
      </w:r>
      <w:r w:rsidRPr="003F59E9">
        <w:rPr>
          <w:b/>
          <w:bCs/>
          <w:sz w:val="28"/>
          <w:szCs w:val="28"/>
        </w:rPr>
        <w:t xml:space="preserve"> ремонт</w:t>
      </w:r>
      <w:r>
        <w:rPr>
          <w:b/>
          <w:bCs/>
          <w:sz w:val="28"/>
          <w:szCs w:val="28"/>
        </w:rPr>
        <w:t xml:space="preserve">у </w:t>
      </w:r>
      <w:r w:rsidRPr="003F59E9">
        <w:rPr>
          <w:b/>
          <w:bCs/>
          <w:sz w:val="28"/>
          <w:szCs w:val="28"/>
        </w:rPr>
        <w:t xml:space="preserve"> міжбудинкового проїзду на вул.</w:t>
      </w:r>
      <w:r>
        <w:rPr>
          <w:b/>
          <w:bCs/>
          <w:sz w:val="28"/>
          <w:szCs w:val="28"/>
        </w:rPr>
        <w:t xml:space="preserve">С.Руданського,10-А– вул.Кріворізькій,2-А (з прибудинковою  територією)» </w:t>
      </w:r>
      <w:r w:rsidRPr="000D3B74">
        <w:rPr>
          <w:sz w:val="28"/>
          <w:szCs w:val="28"/>
        </w:rPr>
        <w:t xml:space="preserve">суму </w:t>
      </w:r>
      <w:r>
        <w:rPr>
          <w:sz w:val="28"/>
          <w:szCs w:val="28"/>
        </w:rPr>
        <w:t xml:space="preserve">880 000,00 грн. </w:t>
      </w:r>
      <w:r w:rsidRPr="0006492A">
        <w:rPr>
          <w:b/>
          <w:bCs/>
          <w:sz w:val="28"/>
          <w:szCs w:val="28"/>
        </w:rPr>
        <w:t>збільшити</w:t>
      </w:r>
      <w:r>
        <w:rPr>
          <w:b/>
          <w:bCs/>
          <w:sz w:val="28"/>
          <w:szCs w:val="28"/>
        </w:rPr>
        <w:t xml:space="preserve"> </w:t>
      </w:r>
      <w:r w:rsidRPr="000D3B74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265 000,00 </w:t>
      </w:r>
      <w:r w:rsidRPr="000D3B74">
        <w:rPr>
          <w:b/>
          <w:bCs/>
          <w:sz w:val="28"/>
          <w:szCs w:val="28"/>
        </w:rPr>
        <w:t>грн.,</w:t>
      </w:r>
      <w:r>
        <w:rPr>
          <w:sz w:val="28"/>
          <w:szCs w:val="28"/>
        </w:rPr>
        <w:t xml:space="preserve"> </w:t>
      </w:r>
      <w:r w:rsidRPr="00D97A0C">
        <w:rPr>
          <w:b/>
          <w:bCs/>
          <w:sz w:val="28"/>
          <w:szCs w:val="28"/>
        </w:rPr>
        <w:t>затверди</w:t>
      </w:r>
      <w:r>
        <w:rPr>
          <w:b/>
          <w:bCs/>
          <w:sz w:val="28"/>
          <w:szCs w:val="28"/>
        </w:rPr>
        <w:t>вши</w:t>
      </w:r>
      <w:r w:rsidRPr="00D97A0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суму </w:t>
      </w:r>
      <w:r w:rsidRPr="00D97A0C">
        <w:rPr>
          <w:b/>
          <w:bCs/>
          <w:sz w:val="28"/>
          <w:szCs w:val="28"/>
        </w:rPr>
        <w:t>1 145 000,00 грн.</w:t>
      </w:r>
    </w:p>
    <w:p w:rsidR="002D75BA" w:rsidRDefault="002D75BA" w:rsidP="00D56AE9">
      <w:pPr>
        <w:pStyle w:val="21"/>
        <w:tabs>
          <w:tab w:val="left" w:pos="142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2D75BA" w:rsidRDefault="002D75BA" w:rsidP="00D56AE9">
      <w:pPr>
        <w:pStyle w:val="a6"/>
        <w:tabs>
          <w:tab w:val="left" w:pos="142"/>
          <w:tab w:val="left" w:pos="720"/>
        </w:tabs>
        <w:spacing w:after="0"/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2.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2D75BA" w:rsidRDefault="002D75BA" w:rsidP="00D56AE9">
      <w:pPr>
        <w:pStyle w:val="a6"/>
        <w:tabs>
          <w:tab w:val="left" w:pos="142"/>
        </w:tabs>
        <w:ind w:left="0"/>
        <w:jc w:val="center"/>
      </w:pPr>
    </w:p>
    <w:p w:rsidR="002D75BA" w:rsidRDefault="002D75BA" w:rsidP="00D56AE9">
      <w:pPr>
        <w:pStyle w:val="a6"/>
        <w:tabs>
          <w:tab w:val="left" w:pos="142"/>
        </w:tabs>
        <w:spacing w:after="0"/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3. </w:t>
      </w:r>
      <w:r>
        <w:rPr>
          <w:color w:val="000000"/>
          <w:spacing w:val="-8"/>
          <w:sz w:val="28"/>
          <w:szCs w:val="28"/>
        </w:rPr>
        <w:t xml:space="preserve">Організацію </w:t>
      </w:r>
      <w:r>
        <w:rPr>
          <w:sz w:val="28"/>
          <w:szCs w:val="28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2D75BA" w:rsidRPr="00D34345" w:rsidRDefault="002D75BA" w:rsidP="00D56AE9">
      <w:pPr>
        <w:pStyle w:val="a6"/>
        <w:tabs>
          <w:tab w:val="left" w:pos="142"/>
        </w:tabs>
        <w:spacing w:after="0"/>
        <w:ind w:left="0"/>
        <w:jc w:val="both"/>
        <w:rPr>
          <w:b/>
          <w:bCs/>
          <w:sz w:val="24"/>
          <w:szCs w:val="24"/>
        </w:rPr>
      </w:pPr>
    </w:p>
    <w:p w:rsidR="002D75BA" w:rsidRDefault="002D75BA" w:rsidP="00D56AE9">
      <w:pPr>
        <w:pStyle w:val="a6"/>
        <w:tabs>
          <w:tab w:val="left" w:pos="142"/>
        </w:tabs>
        <w:spacing w:after="0"/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4.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2D75BA" w:rsidRDefault="002D75BA" w:rsidP="00D56AE9">
      <w:pPr>
        <w:tabs>
          <w:tab w:val="left" w:pos="142"/>
        </w:tabs>
        <w:jc w:val="both"/>
        <w:rPr>
          <w:b/>
          <w:bCs/>
          <w:sz w:val="28"/>
          <w:szCs w:val="28"/>
        </w:rPr>
      </w:pPr>
    </w:p>
    <w:p w:rsidR="002D75BA" w:rsidRDefault="002D75BA" w:rsidP="00D56AE9">
      <w:pPr>
        <w:tabs>
          <w:tab w:val="left" w:pos="142"/>
        </w:tabs>
        <w:jc w:val="both"/>
        <w:rPr>
          <w:b/>
          <w:bCs/>
          <w:sz w:val="28"/>
          <w:szCs w:val="28"/>
        </w:rPr>
      </w:pPr>
    </w:p>
    <w:p w:rsidR="002D75BA" w:rsidRDefault="002D75BA" w:rsidP="00D56AE9">
      <w:pPr>
        <w:tabs>
          <w:tab w:val="left" w:pos="142"/>
        </w:tabs>
        <w:jc w:val="both"/>
        <w:rPr>
          <w:b/>
          <w:bCs/>
          <w:sz w:val="28"/>
          <w:szCs w:val="28"/>
        </w:rPr>
      </w:pPr>
    </w:p>
    <w:p w:rsidR="002D75BA" w:rsidRDefault="002D75BA" w:rsidP="00D34345">
      <w:pPr>
        <w:tabs>
          <w:tab w:val="left" w:pos="142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 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О.Каспрук</w:t>
      </w:r>
    </w:p>
    <w:p w:rsidR="002D75BA" w:rsidRDefault="002D75BA" w:rsidP="00D34345">
      <w:pPr>
        <w:tabs>
          <w:tab w:val="left" w:pos="142"/>
        </w:tabs>
        <w:jc w:val="both"/>
        <w:rPr>
          <w:b/>
          <w:bCs/>
          <w:sz w:val="28"/>
          <w:szCs w:val="28"/>
        </w:rPr>
      </w:pPr>
    </w:p>
    <w:p w:rsidR="002D75BA" w:rsidRDefault="002D75BA" w:rsidP="00D34345">
      <w:pPr>
        <w:tabs>
          <w:tab w:val="left" w:pos="142"/>
        </w:tabs>
        <w:jc w:val="both"/>
        <w:rPr>
          <w:b/>
          <w:bCs/>
          <w:sz w:val="28"/>
          <w:szCs w:val="28"/>
        </w:rPr>
      </w:pPr>
    </w:p>
    <w:p w:rsidR="002D75BA" w:rsidRDefault="002D75BA" w:rsidP="00D34345">
      <w:pPr>
        <w:tabs>
          <w:tab w:val="left" w:pos="142"/>
        </w:tabs>
        <w:jc w:val="both"/>
        <w:rPr>
          <w:b/>
          <w:bCs/>
          <w:sz w:val="28"/>
          <w:szCs w:val="28"/>
        </w:rPr>
      </w:pPr>
    </w:p>
    <w:sectPr w:rsidR="002D75BA" w:rsidSect="009F641F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93C5A"/>
    <w:multiLevelType w:val="hybridMultilevel"/>
    <w:tmpl w:val="FF748AD4"/>
    <w:lvl w:ilvl="0" w:tplc="D2E63F98">
      <w:start w:val="1"/>
      <w:numFmt w:val="decimal"/>
      <w:lvlText w:val="%1."/>
      <w:lvlJc w:val="left"/>
      <w:pPr>
        <w:ind w:left="1064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4" w:hanging="360"/>
      </w:pPr>
    </w:lvl>
    <w:lvl w:ilvl="2" w:tplc="0422001B">
      <w:start w:val="1"/>
      <w:numFmt w:val="lowerRoman"/>
      <w:lvlText w:val="%3."/>
      <w:lvlJc w:val="right"/>
      <w:pPr>
        <w:ind w:left="2504" w:hanging="180"/>
      </w:pPr>
    </w:lvl>
    <w:lvl w:ilvl="3" w:tplc="0422000F">
      <w:start w:val="1"/>
      <w:numFmt w:val="decimal"/>
      <w:lvlText w:val="%4."/>
      <w:lvlJc w:val="left"/>
      <w:pPr>
        <w:ind w:left="3224" w:hanging="360"/>
      </w:pPr>
    </w:lvl>
    <w:lvl w:ilvl="4" w:tplc="04220019">
      <w:start w:val="1"/>
      <w:numFmt w:val="lowerLetter"/>
      <w:lvlText w:val="%5."/>
      <w:lvlJc w:val="left"/>
      <w:pPr>
        <w:ind w:left="3944" w:hanging="360"/>
      </w:pPr>
    </w:lvl>
    <w:lvl w:ilvl="5" w:tplc="0422001B">
      <w:start w:val="1"/>
      <w:numFmt w:val="lowerRoman"/>
      <w:lvlText w:val="%6."/>
      <w:lvlJc w:val="right"/>
      <w:pPr>
        <w:ind w:left="4664" w:hanging="180"/>
      </w:pPr>
    </w:lvl>
    <w:lvl w:ilvl="6" w:tplc="0422000F">
      <w:start w:val="1"/>
      <w:numFmt w:val="decimal"/>
      <w:lvlText w:val="%7."/>
      <w:lvlJc w:val="left"/>
      <w:pPr>
        <w:ind w:left="5384" w:hanging="360"/>
      </w:pPr>
    </w:lvl>
    <w:lvl w:ilvl="7" w:tplc="04220019">
      <w:start w:val="1"/>
      <w:numFmt w:val="lowerLetter"/>
      <w:lvlText w:val="%8."/>
      <w:lvlJc w:val="left"/>
      <w:pPr>
        <w:ind w:left="6104" w:hanging="360"/>
      </w:pPr>
    </w:lvl>
    <w:lvl w:ilvl="8" w:tplc="0422001B">
      <w:start w:val="1"/>
      <w:numFmt w:val="lowerRoman"/>
      <w:lvlText w:val="%9."/>
      <w:lvlJc w:val="right"/>
      <w:pPr>
        <w:ind w:left="68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701"/>
    <w:rsid w:val="0006492A"/>
    <w:rsid w:val="000D3B74"/>
    <w:rsid w:val="000D5C49"/>
    <w:rsid w:val="00162EE5"/>
    <w:rsid w:val="001804FD"/>
    <w:rsid w:val="001A2FD4"/>
    <w:rsid w:val="002207E9"/>
    <w:rsid w:val="00223AE5"/>
    <w:rsid w:val="002D75BA"/>
    <w:rsid w:val="003008C5"/>
    <w:rsid w:val="003F59E9"/>
    <w:rsid w:val="00445AE5"/>
    <w:rsid w:val="004F5EF3"/>
    <w:rsid w:val="005344E0"/>
    <w:rsid w:val="00555B69"/>
    <w:rsid w:val="0057247D"/>
    <w:rsid w:val="005B72E2"/>
    <w:rsid w:val="005C2C5E"/>
    <w:rsid w:val="005F0105"/>
    <w:rsid w:val="00791374"/>
    <w:rsid w:val="00886D55"/>
    <w:rsid w:val="00897F36"/>
    <w:rsid w:val="00947CFC"/>
    <w:rsid w:val="00987CD1"/>
    <w:rsid w:val="009F6334"/>
    <w:rsid w:val="009F641F"/>
    <w:rsid w:val="00AB5DD4"/>
    <w:rsid w:val="00AC75C7"/>
    <w:rsid w:val="00B05EDA"/>
    <w:rsid w:val="00B77701"/>
    <w:rsid w:val="00BA1A5F"/>
    <w:rsid w:val="00CB42CF"/>
    <w:rsid w:val="00CC6609"/>
    <w:rsid w:val="00D34345"/>
    <w:rsid w:val="00D36F13"/>
    <w:rsid w:val="00D56AE9"/>
    <w:rsid w:val="00D97A0C"/>
    <w:rsid w:val="00E1703B"/>
    <w:rsid w:val="00E946D6"/>
    <w:rsid w:val="00F25267"/>
    <w:rsid w:val="00F80F5B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EBB3FC-07E0-45E9-94F8-83319186B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701"/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77701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7770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770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77701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uiPriority w:val="99"/>
    <w:qFormat/>
    <w:rsid w:val="00B77701"/>
    <w:pPr>
      <w:jc w:val="center"/>
    </w:pPr>
    <w:rPr>
      <w:b/>
      <w:bCs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B7770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B77701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rsid w:val="00B7770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B77701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B777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B7770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B7770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77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uiPriority w:val="99"/>
    <w:rsid w:val="00B77701"/>
    <w:pPr>
      <w:keepNext/>
      <w:tabs>
        <w:tab w:val="left" w:pos="11766"/>
      </w:tabs>
      <w:spacing w:line="240" w:lineRule="atLeast"/>
    </w:pPr>
    <w:rPr>
      <w:rFonts w:ascii="Decor" w:hAnsi="Decor" w:cs="Decor"/>
      <w:sz w:val="28"/>
      <w:szCs w:val="28"/>
      <w:lang w:val="en-GB"/>
    </w:rPr>
  </w:style>
  <w:style w:type="paragraph" w:styleId="a8">
    <w:name w:val="Balloon Text"/>
    <w:basedOn w:val="a"/>
    <w:link w:val="a9"/>
    <w:uiPriority w:val="99"/>
    <w:semiHidden/>
    <w:rsid w:val="00B777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77701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BA1A5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43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NewUser</dc:creator>
  <cp:keywords/>
  <dc:description/>
  <cp:lastModifiedBy>Kompvid2</cp:lastModifiedBy>
  <cp:revision>2</cp:revision>
  <cp:lastPrinted>2017-10-12T12:32:00Z</cp:lastPrinted>
  <dcterms:created xsi:type="dcterms:W3CDTF">2017-10-18T13:34:00Z</dcterms:created>
  <dcterms:modified xsi:type="dcterms:W3CDTF">2017-10-18T13:34:00Z</dcterms:modified>
</cp:coreProperties>
</file>