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40EC" w:rsidRPr="00F4158E" w:rsidRDefault="00F540EC" w:rsidP="00F540EC">
      <w:pPr>
        <w:autoSpaceDE w:val="0"/>
        <w:autoSpaceDN w:val="0"/>
        <w:adjustRightInd w:val="0"/>
        <w:ind w:hanging="140"/>
        <w:jc w:val="center"/>
        <w:rPr>
          <w:b/>
          <w:bCs/>
          <w:lang w:val="uk-UA"/>
        </w:rPr>
      </w:pPr>
      <w:r w:rsidRPr="00F4158E">
        <w:rPr>
          <w:b/>
          <w:bCs/>
          <w:lang w:val="uk-UA"/>
        </w:rPr>
        <w:t xml:space="preserve">   </w:t>
      </w:r>
      <w:r w:rsidR="00A933E5" w:rsidRPr="00F4158E">
        <w:rPr>
          <w:b/>
          <w:bCs/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40EC" w:rsidRPr="00F4158E" w:rsidRDefault="00A933E5" w:rsidP="00F540EC">
      <w:pPr>
        <w:jc w:val="center"/>
        <w:rPr>
          <w:b/>
          <w:bCs/>
          <w:sz w:val="36"/>
          <w:szCs w:val="36"/>
          <w:lang w:val="uk-UA"/>
        </w:rPr>
      </w:pPr>
      <w:r w:rsidRPr="00F4158E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-757555</wp:posOffset>
                </wp:positionV>
                <wp:extent cx="2044700" cy="483870"/>
                <wp:effectExtent l="0" t="1270" r="0" b="63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47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540EC" w:rsidRDefault="00F540EC" w:rsidP="00F540EC">
                            <w:pPr>
                              <w:rPr>
                                <w:b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59.65pt;width:161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" stroked="f">
                <v:textbox>
                  <w:txbxContent>
                    <w:p w:rsidR="00F540EC" w:rsidRDefault="00F540EC" w:rsidP="00F540EC">
                      <w:pPr>
                        <w:rPr>
                          <w:b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540EC" w:rsidRPr="00F4158E">
        <w:rPr>
          <w:b/>
          <w:bCs/>
          <w:sz w:val="36"/>
          <w:szCs w:val="36"/>
          <w:lang w:val="uk-UA"/>
        </w:rPr>
        <w:t>У К Р А Ї Н А</w:t>
      </w:r>
    </w:p>
    <w:p w:rsidR="00F540EC" w:rsidRPr="00F4158E" w:rsidRDefault="00F540EC" w:rsidP="00F540EC">
      <w:pPr>
        <w:jc w:val="center"/>
        <w:rPr>
          <w:b/>
          <w:bCs/>
          <w:lang w:val="uk-UA"/>
        </w:rPr>
      </w:pPr>
      <w:r w:rsidRPr="00F4158E">
        <w:rPr>
          <w:b/>
          <w:bCs/>
          <w:sz w:val="36"/>
          <w:szCs w:val="36"/>
          <w:lang w:val="uk-UA"/>
        </w:rPr>
        <w:t>Чернівецька  міська рада</w:t>
      </w:r>
    </w:p>
    <w:p w:rsidR="00F540EC" w:rsidRPr="00F4158E" w:rsidRDefault="00F540EC" w:rsidP="00F540EC">
      <w:pPr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13</w:t>
      </w:r>
      <w:r w:rsidRPr="00F4158E">
        <w:rPr>
          <w:b/>
          <w:bCs/>
          <w:sz w:val="32"/>
          <w:szCs w:val="32"/>
          <w:lang w:val="uk-UA"/>
        </w:rPr>
        <w:t xml:space="preserve">  сесія  VІ</w:t>
      </w:r>
      <w:r>
        <w:rPr>
          <w:b/>
          <w:bCs/>
          <w:sz w:val="32"/>
          <w:szCs w:val="32"/>
          <w:lang w:val="uk-UA"/>
        </w:rPr>
        <w:t>І</w:t>
      </w:r>
      <w:r w:rsidRPr="00F4158E">
        <w:rPr>
          <w:b/>
          <w:bCs/>
          <w:sz w:val="32"/>
          <w:szCs w:val="32"/>
          <w:lang w:val="uk-UA"/>
        </w:rPr>
        <w:t xml:space="preserve">  скликання </w:t>
      </w:r>
    </w:p>
    <w:p w:rsidR="00F540EC" w:rsidRPr="00F4158E" w:rsidRDefault="00F540EC" w:rsidP="00F540EC">
      <w:pPr>
        <w:pStyle w:val="3"/>
        <w:jc w:val="center"/>
        <w:rPr>
          <w:rFonts w:ascii="Times New Roman" w:hAnsi="Times New Roman" w:cs="Times New Roman"/>
          <w:sz w:val="32"/>
          <w:lang w:val="uk-UA"/>
        </w:rPr>
      </w:pPr>
      <w:r w:rsidRPr="00F4158E">
        <w:rPr>
          <w:rFonts w:ascii="Times New Roman" w:hAnsi="Times New Roman" w:cs="Times New Roman"/>
          <w:bCs w:val="0"/>
          <w:sz w:val="32"/>
          <w:lang w:val="uk-UA"/>
        </w:rPr>
        <w:t>Р  І  Ш  Е  Н  Н  Я</w:t>
      </w:r>
    </w:p>
    <w:p w:rsidR="00F540EC" w:rsidRPr="00E5319C" w:rsidRDefault="00F540EC" w:rsidP="00F540EC">
      <w:pPr>
        <w:rPr>
          <w:sz w:val="16"/>
          <w:szCs w:val="16"/>
          <w:lang w:val="uk-UA"/>
        </w:rPr>
      </w:pPr>
    </w:p>
    <w:p w:rsidR="00F540EC" w:rsidRPr="00F4158E" w:rsidRDefault="00F540EC" w:rsidP="00F540EC">
      <w:pPr>
        <w:rPr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 xml:space="preserve">29.09.2016 </w:t>
      </w:r>
      <w:r w:rsidRPr="00F4158E">
        <w:rPr>
          <w:iCs/>
          <w:sz w:val="28"/>
          <w:szCs w:val="28"/>
          <w:lang w:val="uk-UA"/>
        </w:rPr>
        <w:t xml:space="preserve">№ </w:t>
      </w:r>
      <w:r>
        <w:rPr>
          <w:iCs/>
          <w:sz w:val="28"/>
          <w:szCs w:val="28"/>
          <w:lang w:val="uk-UA"/>
        </w:rPr>
        <w:t>400</w:t>
      </w:r>
      <w:r w:rsidRPr="00F4158E">
        <w:rPr>
          <w:iCs/>
          <w:sz w:val="28"/>
          <w:szCs w:val="28"/>
          <w:lang w:val="uk-UA"/>
        </w:rPr>
        <w:t xml:space="preserve">  </w:t>
      </w:r>
      <w:r>
        <w:rPr>
          <w:i/>
          <w:sz w:val="28"/>
          <w:szCs w:val="28"/>
          <w:lang w:val="uk-UA"/>
        </w:rPr>
        <w:tab/>
        <w:t xml:space="preserve">    </w:t>
      </w:r>
      <w:r w:rsidRPr="00F4158E">
        <w:rPr>
          <w:i/>
          <w:sz w:val="28"/>
          <w:szCs w:val="28"/>
          <w:lang w:val="uk-UA"/>
        </w:rPr>
        <w:t xml:space="preserve">   </w:t>
      </w:r>
      <w:r>
        <w:rPr>
          <w:i/>
          <w:sz w:val="28"/>
          <w:szCs w:val="28"/>
          <w:lang w:val="uk-UA"/>
        </w:rPr>
        <w:t xml:space="preserve">            </w:t>
      </w:r>
      <w:r w:rsidRPr="00F4158E">
        <w:rPr>
          <w:i/>
          <w:sz w:val="28"/>
          <w:szCs w:val="28"/>
          <w:lang w:val="uk-UA"/>
        </w:rPr>
        <w:t xml:space="preserve">             </w:t>
      </w:r>
      <w:r>
        <w:rPr>
          <w:i/>
          <w:sz w:val="28"/>
          <w:szCs w:val="28"/>
          <w:lang w:val="uk-UA"/>
        </w:rPr>
        <w:t xml:space="preserve">                    </w:t>
      </w:r>
      <w:r w:rsidRPr="00F4158E">
        <w:rPr>
          <w:i/>
          <w:sz w:val="28"/>
          <w:szCs w:val="28"/>
          <w:lang w:val="uk-UA"/>
        </w:rPr>
        <w:t xml:space="preserve">       </w:t>
      </w:r>
      <w:r w:rsidRPr="00F4158E">
        <w:rPr>
          <w:sz w:val="28"/>
          <w:szCs w:val="28"/>
          <w:lang w:val="uk-UA"/>
        </w:rPr>
        <w:t>м. Чернівці</w:t>
      </w:r>
    </w:p>
    <w:p w:rsidR="00F540EC" w:rsidRPr="00F4158E" w:rsidRDefault="00F540EC" w:rsidP="00F540EC">
      <w:pPr>
        <w:rPr>
          <w:sz w:val="28"/>
          <w:szCs w:val="28"/>
          <w:lang w:val="uk-UA"/>
        </w:rPr>
      </w:pPr>
    </w:p>
    <w:p w:rsidR="00F540EC" w:rsidRPr="00F4158E" w:rsidRDefault="00F540EC" w:rsidP="00F540EC">
      <w:pPr>
        <w:jc w:val="center"/>
        <w:rPr>
          <w:color w:val="0000FF"/>
          <w:sz w:val="28"/>
          <w:szCs w:val="28"/>
          <w:lang w:val="uk-UA"/>
        </w:rPr>
      </w:pPr>
      <w:bookmarkStart w:id="0" w:name="_GoBack"/>
      <w:r w:rsidRPr="00F4158E">
        <w:rPr>
          <w:b/>
          <w:bCs/>
          <w:sz w:val="28"/>
          <w:szCs w:val="28"/>
          <w:lang w:val="uk-UA"/>
        </w:rPr>
        <w:t xml:space="preserve">Про </w:t>
      </w:r>
      <w:r w:rsidRPr="00F4158E">
        <w:rPr>
          <w:b/>
          <w:sz w:val="28"/>
          <w:szCs w:val="28"/>
          <w:lang w:val="uk-UA"/>
        </w:rPr>
        <w:t>присвоєння звання “Почесний громадянин міста  Чернівців”</w:t>
      </w:r>
    </w:p>
    <w:bookmarkEnd w:id="0"/>
    <w:p w:rsidR="00F540EC" w:rsidRPr="00F4158E" w:rsidRDefault="00F540EC" w:rsidP="00F540EC">
      <w:pPr>
        <w:pStyle w:val="a3"/>
        <w:widowControl w:val="0"/>
        <w:ind w:firstLine="0"/>
        <w:jc w:val="center"/>
        <w:rPr>
          <w:b/>
          <w:szCs w:val="28"/>
          <w:lang w:val="uk-UA"/>
        </w:rPr>
      </w:pPr>
    </w:p>
    <w:p w:rsidR="00F540EC" w:rsidRPr="00F4158E" w:rsidRDefault="00F540EC" w:rsidP="00F540EC">
      <w:pPr>
        <w:ind w:firstLine="708"/>
        <w:jc w:val="both"/>
        <w:rPr>
          <w:sz w:val="28"/>
          <w:szCs w:val="28"/>
          <w:lang w:val="uk-UA"/>
        </w:rPr>
      </w:pPr>
      <w:r w:rsidRPr="00F4158E">
        <w:rPr>
          <w:sz w:val="28"/>
          <w:szCs w:val="28"/>
          <w:lang w:val="uk-UA"/>
        </w:rPr>
        <w:t xml:space="preserve">Відповідно до статті 26 Закону України “Про місцеве самоврядування в Україні”, Положення про звання “Почесний громадянин міста Чернівців”, затвердженого рішенням Чернівецької міської ради VІ скликання                            від 28.02.2013 р. № 763, беручи до уваги протокол комісії з питань розгляду кандидатур на присвоєння звання “Почесний громадянин міста Чернівців” від </w:t>
      </w:r>
      <w:r>
        <w:rPr>
          <w:sz w:val="28"/>
          <w:szCs w:val="28"/>
          <w:lang w:val="uk-UA"/>
        </w:rPr>
        <w:t>29</w:t>
      </w:r>
      <w:r w:rsidRPr="00F4158E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8.2016</w:t>
      </w:r>
      <w:r w:rsidRPr="00F4158E">
        <w:rPr>
          <w:sz w:val="28"/>
          <w:szCs w:val="28"/>
          <w:lang w:val="uk-UA"/>
        </w:rPr>
        <w:t xml:space="preserve"> р., розглянувши клопотання </w:t>
      </w:r>
      <w:r w:rsidRPr="00B6737A">
        <w:rPr>
          <w:sz w:val="28"/>
          <w:szCs w:val="28"/>
          <w:lang w:val="uk-UA"/>
        </w:rPr>
        <w:t>Чернівецької міської організації ветеранів України</w:t>
      </w:r>
      <w:r>
        <w:rPr>
          <w:sz w:val="28"/>
          <w:szCs w:val="28"/>
          <w:lang w:val="uk-UA"/>
        </w:rPr>
        <w:t>, Чернівецького обласного відділення Національної всеукраїнської музичної спілки та муніципальної бібліотеки імені А.Добрянського</w:t>
      </w:r>
      <w:r w:rsidRPr="00F4158E">
        <w:rPr>
          <w:sz w:val="28"/>
          <w:szCs w:val="28"/>
          <w:lang w:val="uk-UA"/>
        </w:rPr>
        <w:t xml:space="preserve">, Чернівецька міська рада  </w:t>
      </w:r>
    </w:p>
    <w:p w:rsidR="00F540EC" w:rsidRPr="00E5319C" w:rsidRDefault="00F540EC" w:rsidP="00F540EC">
      <w:pPr>
        <w:ind w:firstLine="708"/>
        <w:jc w:val="both"/>
        <w:rPr>
          <w:sz w:val="16"/>
          <w:szCs w:val="16"/>
          <w:lang w:val="uk-UA"/>
        </w:rPr>
      </w:pPr>
    </w:p>
    <w:p w:rsidR="00F540EC" w:rsidRPr="00F4158E" w:rsidRDefault="00F540EC" w:rsidP="00F540EC">
      <w:pPr>
        <w:jc w:val="center"/>
        <w:rPr>
          <w:b/>
          <w:sz w:val="28"/>
          <w:szCs w:val="28"/>
          <w:lang w:val="uk-UA"/>
        </w:rPr>
      </w:pPr>
      <w:r w:rsidRPr="00F4158E">
        <w:rPr>
          <w:b/>
          <w:sz w:val="28"/>
          <w:szCs w:val="28"/>
          <w:lang w:val="uk-UA"/>
        </w:rPr>
        <w:t>В И Р І Ш И Л А :</w:t>
      </w:r>
    </w:p>
    <w:p w:rsidR="00F540EC" w:rsidRPr="00F4158E" w:rsidRDefault="00F540EC" w:rsidP="00F540EC">
      <w:pPr>
        <w:jc w:val="center"/>
        <w:rPr>
          <w:b/>
          <w:sz w:val="28"/>
          <w:szCs w:val="28"/>
          <w:lang w:val="uk-UA"/>
        </w:rPr>
      </w:pPr>
    </w:p>
    <w:p w:rsidR="00F540EC" w:rsidRPr="00F4158E" w:rsidRDefault="00F540EC" w:rsidP="00F540EC">
      <w:pPr>
        <w:ind w:firstLine="708"/>
        <w:jc w:val="both"/>
        <w:rPr>
          <w:sz w:val="28"/>
          <w:szCs w:val="28"/>
          <w:lang w:val="uk-UA"/>
        </w:rPr>
      </w:pPr>
      <w:r w:rsidRPr="00F4158E">
        <w:rPr>
          <w:b/>
          <w:color w:val="000000"/>
          <w:sz w:val="28"/>
          <w:szCs w:val="28"/>
          <w:lang w:val="uk-UA"/>
        </w:rPr>
        <w:t>1.</w:t>
      </w:r>
      <w:r w:rsidRPr="00F4158E">
        <w:rPr>
          <w:color w:val="000000"/>
          <w:sz w:val="28"/>
          <w:szCs w:val="28"/>
          <w:lang w:val="uk-UA"/>
        </w:rPr>
        <w:t xml:space="preserve"> </w:t>
      </w:r>
      <w:r w:rsidRPr="00F4158E">
        <w:rPr>
          <w:sz w:val="28"/>
          <w:szCs w:val="28"/>
          <w:lang w:val="uk-UA"/>
        </w:rPr>
        <w:t>За особливі заслуги перед територіальною громадою міста Чернівців,                        та з нагоди Дня міста присвоїти звання “Почесний громадянин міста  Чернівців”</w:t>
      </w:r>
    </w:p>
    <w:p w:rsidR="00F540EC" w:rsidRPr="005E7320" w:rsidRDefault="00F540EC" w:rsidP="00F540EC">
      <w:pPr>
        <w:tabs>
          <w:tab w:val="left" w:pos="0"/>
        </w:tabs>
        <w:ind w:right="-2"/>
        <w:jc w:val="both"/>
        <w:rPr>
          <w:sz w:val="16"/>
          <w:szCs w:val="16"/>
          <w:lang w:val="uk-UA"/>
        </w:rPr>
      </w:pPr>
    </w:p>
    <w:tbl>
      <w:tblPr>
        <w:tblW w:w="9365" w:type="dxa"/>
        <w:tblInd w:w="108" w:type="dxa"/>
        <w:tblLook w:val="0000" w:firstRow="0" w:lastRow="0" w:firstColumn="0" w:lastColumn="0" w:noHBand="0" w:noVBand="0"/>
      </w:tblPr>
      <w:tblGrid>
        <w:gridCol w:w="2850"/>
        <w:gridCol w:w="383"/>
        <w:gridCol w:w="6132"/>
      </w:tblGrid>
      <w:tr w:rsidR="00F540EC" w:rsidRPr="00F4158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402" w:type="dxa"/>
            <w:tcBorders>
              <w:top w:val="nil"/>
              <w:bottom w:val="nil"/>
            </w:tcBorders>
          </w:tcPr>
          <w:p w:rsidR="00F540EC" w:rsidRDefault="00F540EC" w:rsidP="00F540EC">
            <w:pPr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СУРОВУ</w:t>
            </w:r>
          </w:p>
          <w:p w:rsidR="00F540EC" w:rsidRDefault="00F540EC" w:rsidP="00F540EC">
            <w:pPr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Олександру</w:t>
            </w:r>
          </w:p>
          <w:p w:rsidR="00F540EC" w:rsidRPr="00F4158E" w:rsidRDefault="00F540EC" w:rsidP="00F540E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Іларіоновичу</w:t>
            </w:r>
          </w:p>
        </w:tc>
        <w:tc>
          <w:tcPr>
            <w:tcW w:w="391" w:type="dxa"/>
          </w:tcPr>
          <w:p w:rsidR="00F540EC" w:rsidRPr="00F4158E" w:rsidRDefault="00F540EC" w:rsidP="00F540EC">
            <w:pPr>
              <w:jc w:val="both"/>
              <w:rPr>
                <w:sz w:val="28"/>
                <w:szCs w:val="28"/>
                <w:lang w:val="uk-UA"/>
              </w:rPr>
            </w:pPr>
            <w:r w:rsidRPr="00F4158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572" w:type="dxa"/>
          </w:tcPr>
          <w:p w:rsidR="00F540EC" w:rsidRPr="00F4158E" w:rsidRDefault="00F540EC" w:rsidP="00F540EC">
            <w:pPr>
              <w:pStyle w:val="a4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ветерану Великої Вітчизняної війни, учаснику визволення міста Чернівців;</w:t>
            </w:r>
          </w:p>
        </w:tc>
      </w:tr>
      <w:tr w:rsidR="00F540EC" w:rsidRPr="007C226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402" w:type="dxa"/>
            <w:tcBorders>
              <w:top w:val="nil"/>
              <w:bottom w:val="nil"/>
            </w:tcBorders>
          </w:tcPr>
          <w:p w:rsidR="00F540EC" w:rsidRPr="007C2266" w:rsidRDefault="00F540EC" w:rsidP="00F540EC">
            <w:pPr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391" w:type="dxa"/>
          </w:tcPr>
          <w:p w:rsidR="00F540EC" w:rsidRPr="007C2266" w:rsidRDefault="00F540EC" w:rsidP="00F540EC">
            <w:pPr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6572" w:type="dxa"/>
          </w:tcPr>
          <w:p w:rsidR="00F540EC" w:rsidRPr="007C2266" w:rsidRDefault="00F540EC" w:rsidP="00F540EC">
            <w:pPr>
              <w:pStyle w:val="a4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F540EC" w:rsidRPr="00F4158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402" w:type="dxa"/>
            <w:tcBorders>
              <w:top w:val="nil"/>
              <w:bottom w:val="nil"/>
            </w:tcBorders>
          </w:tcPr>
          <w:p w:rsidR="00F540EC" w:rsidRDefault="00F540EC" w:rsidP="00F540EC">
            <w:pPr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ЗАТУЛОВСЬКОМУ</w:t>
            </w:r>
          </w:p>
          <w:p w:rsidR="00F540EC" w:rsidRDefault="00F540EC" w:rsidP="00F540EC">
            <w:pPr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Леоніду</w:t>
            </w:r>
          </w:p>
          <w:p w:rsidR="00F540EC" w:rsidRDefault="00F540EC" w:rsidP="00F540EC">
            <w:pPr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Борисовичу</w:t>
            </w:r>
          </w:p>
        </w:tc>
        <w:tc>
          <w:tcPr>
            <w:tcW w:w="391" w:type="dxa"/>
          </w:tcPr>
          <w:p w:rsidR="00F540EC" w:rsidRPr="00F4158E" w:rsidRDefault="00F540EC" w:rsidP="00F540E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572" w:type="dxa"/>
          </w:tcPr>
          <w:p w:rsidR="00F540EC" w:rsidRPr="007C2266" w:rsidRDefault="00F540EC" w:rsidP="00F540EC">
            <w:pPr>
              <w:pStyle w:val="a4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співголові обласного об</w:t>
            </w:r>
            <w:r w:rsidRPr="007C2266">
              <w:rPr>
                <w:sz w:val="28"/>
                <w:szCs w:val="28"/>
                <w:lang w:val="uk-UA"/>
              </w:rPr>
              <w:t>’</w:t>
            </w:r>
            <w:r>
              <w:rPr>
                <w:sz w:val="28"/>
                <w:szCs w:val="28"/>
                <w:lang w:val="uk-UA"/>
              </w:rPr>
              <w:t>єднання композиторів Буковини, члену правління Асоціації діячів естрадного мистецтва Чернівецького обласного відділення Національної Всеукраїнської музичної спілки, лауреату обласної літературно-мистецької премії імені Сидора Воробкевича, мистецької премії імені Сіді Таль, Заслуженому діячу мистецтв України;</w:t>
            </w:r>
          </w:p>
        </w:tc>
      </w:tr>
      <w:tr w:rsidR="00F540EC" w:rsidRPr="007C2266">
        <w:tblPrEx>
          <w:tblCellMar>
            <w:top w:w="0" w:type="dxa"/>
            <w:bottom w:w="0" w:type="dxa"/>
          </w:tblCellMar>
        </w:tblPrEx>
        <w:trPr>
          <w:trHeight w:val="222"/>
          <w:tblHeader/>
        </w:trPr>
        <w:tc>
          <w:tcPr>
            <w:tcW w:w="2402" w:type="dxa"/>
            <w:tcBorders>
              <w:top w:val="nil"/>
              <w:bottom w:val="nil"/>
            </w:tcBorders>
          </w:tcPr>
          <w:p w:rsidR="00F540EC" w:rsidRPr="007C2266" w:rsidRDefault="00F540EC" w:rsidP="00F540EC">
            <w:pPr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391" w:type="dxa"/>
          </w:tcPr>
          <w:p w:rsidR="00F540EC" w:rsidRPr="007C2266" w:rsidRDefault="00F540EC" w:rsidP="00F540EC">
            <w:pPr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6572" w:type="dxa"/>
          </w:tcPr>
          <w:p w:rsidR="00F540EC" w:rsidRPr="007C2266" w:rsidRDefault="00F540EC" w:rsidP="00F540EC">
            <w:pPr>
              <w:pStyle w:val="a4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F540EC" w:rsidRPr="00F4158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402" w:type="dxa"/>
            <w:tcBorders>
              <w:top w:val="nil"/>
              <w:bottom w:val="nil"/>
            </w:tcBorders>
          </w:tcPr>
          <w:p w:rsidR="00F540EC" w:rsidRDefault="00F540EC" w:rsidP="00F540EC">
            <w:pPr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ЕЛЬГІСЕРУ</w:t>
            </w:r>
          </w:p>
          <w:p w:rsidR="00F540EC" w:rsidRDefault="00F540EC" w:rsidP="00F540EC">
            <w:pPr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Йосипу</w:t>
            </w:r>
          </w:p>
          <w:p w:rsidR="00F540EC" w:rsidRDefault="00F540EC" w:rsidP="00F540EC">
            <w:pPr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Мойсейовичу</w:t>
            </w:r>
          </w:p>
        </w:tc>
        <w:tc>
          <w:tcPr>
            <w:tcW w:w="391" w:type="dxa"/>
          </w:tcPr>
          <w:p w:rsidR="00F540EC" w:rsidRDefault="00F540EC" w:rsidP="00F540E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572" w:type="dxa"/>
          </w:tcPr>
          <w:p w:rsidR="00F540EC" w:rsidRPr="007C2266" w:rsidRDefault="00F540EC" w:rsidP="00F540EC">
            <w:pPr>
              <w:pStyle w:val="a4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українському лікарю-хірургу, піаністу, композитору, концертмейстеру, педагогу, музичному діячу, володару Золотої медалі ЮНЕСКО та звання «Золоте ім</w:t>
            </w:r>
            <w:r w:rsidRPr="007C2266">
              <w:rPr>
                <w:sz w:val="28"/>
                <w:szCs w:val="28"/>
                <w:lang w:val="uk-UA"/>
              </w:rPr>
              <w:t>’</w:t>
            </w:r>
            <w:r>
              <w:rPr>
                <w:sz w:val="28"/>
                <w:szCs w:val="28"/>
                <w:lang w:val="uk-UA"/>
              </w:rPr>
              <w:t>я світової культури» (посмертно).</w:t>
            </w:r>
          </w:p>
        </w:tc>
      </w:tr>
    </w:tbl>
    <w:p w:rsidR="00F540EC" w:rsidRPr="00E5319C" w:rsidRDefault="00F540EC" w:rsidP="00F540EC">
      <w:pPr>
        <w:jc w:val="both"/>
        <w:rPr>
          <w:b/>
          <w:bCs/>
          <w:sz w:val="28"/>
          <w:lang w:val="uk-UA"/>
        </w:rPr>
      </w:pPr>
      <w:r w:rsidRPr="00F4158E">
        <w:rPr>
          <w:b/>
          <w:bCs/>
          <w:sz w:val="28"/>
          <w:lang w:val="uk-UA"/>
        </w:rPr>
        <w:lastRenderedPageBreak/>
        <w:t xml:space="preserve"> </w:t>
      </w:r>
    </w:p>
    <w:p w:rsidR="00F540EC" w:rsidRPr="00F4158E" w:rsidRDefault="00F540EC" w:rsidP="00F540EC">
      <w:pPr>
        <w:jc w:val="both"/>
        <w:rPr>
          <w:sz w:val="28"/>
          <w:szCs w:val="28"/>
          <w:lang w:val="uk-UA"/>
        </w:rPr>
      </w:pPr>
      <w:r w:rsidRPr="00CB5B6C">
        <w:rPr>
          <w:b/>
          <w:sz w:val="28"/>
          <w:szCs w:val="28"/>
          <w:lang w:val="uk-UA"/>
        </w:rPr>
        <w:t xml:space="preserve">        </w:t>
      </w:r>
      <w:r>
        <w:rPr>
          <w:b/>
          <w:sz w:val="28"/>
          <w:szCs w:val="28"/>
          <w:lang w:val="uk-UA"/>
        </w:rPr>
        <w:t xml:space="preserve"> 2</w:t>
      </w:r>
      <w:r w:rsidRPr="00CB5B6C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F4158E">
        <w:rPr>
          <w:sz w:val="28"/>
          <w:szCs w:val="28"/>
          <w:lang w:val="uk-UA"/>
        </w:rPr>
        <w:t>Рішення підлягає оприлюдненню на офіційному веб-порталі Чернівецької міської ради</w:t>
      </w:r>
      <w:r>
        <w:rPr>
          <w:sz w:val="28"/>
          <w:szCs w:val="28"/>
          <w:lang w:val="uk-UA"/>
        </w:rPr>
        <w:t>.</w:t>
      </w:r>
    </w:p>
    <w:p w:rsidR="00F540EC" w:rsidRPr="00F4158E" w:rsidRDefault="00F540EC" w:rsidP="00F540EC">
      <w:pPr>
        <w:jc w:val="both"/>
        <w:rPr>
          <w:sz w:val="28"/>
          <w:szCs w:val="28"/>
          <w:lang w:val="uk-UA"/>
        </w:rPr>
      </w:pPr>
    </w:p>
    <w:p w:rsidR="00F540EC" w:rsidRPr="00F4158E" w:rsidRDefault="00F540EC" w:rsidP="00F540EC">
      <w:pPr>
        <w:jc w:val="both"/>
        <w:rPr>
          <w:sz w:val="28"/>
          <w:szCs w:val="28"/>
          <w:lang w:val="uk-UA"/>
        </w:rPr>
      </w:pPr>
      <w:r w:rsidRPr="00F4158E">
        <w:rPr>
          <w:sz w:val="28"/>
          <w:szCs w:val="28"/>
          <w:lang w:val="uk-UA"/>
        </w:rPr>
        <w:t xml:space="preserve">         </w:t>
      </w:r>
      <w:r w:rsidRPr="00E5319C">
        <w:rPr>
          <w:b/>
          <w:sz w:val="28"/>
          <w:szCs w:val="28"/>
          <w:lang w:val="uk-UA"/>
        </w:rPr>
        <w:t>3</w:t>
      </w:r>
      <w:r w:rsidRPr="00F4158E">
        <w:rPr>
          <w:b/>
          <w:bCs/>
          <w:sz w:val="28"/>
          <w:szCs w:val="28"/>
          <w:lang w:val="uk-UA"/>
        </w:rPr>
        <w:t>.</w:t>
      </w:r>
      <w:r w:rsidRPr="00F4158E">
        <w:rPr>
          <w:sz w:val="28"/>
          <w:szCs w:val="28"/>
          <w:lang w:val="uk-UA"/>
        </w:rPr>
        <w:t xml:space="preserve"> Організацію виконання рішення покласти на заступника міського голови з питань діяльності  виконавчих органів міської ради  Паскаря О.Є</w:t>
      </w:r>
    </w:p>
    <w:p w:rsidR="00F540EC" w:rsidRPr="00F4158E" w:rsidRDefault="00F540EC" w:rsidP="00F540EC">
      <w:pPr>
        <w:jc w:val="both"/>
        <w:rPr>
          <w:sz w:val="28"/>
          <w:szCs w:val="28"/>
          <w:lang w:val="uk-UA"/>
        </w:rPr>
      </w:pPr>
    </w:p>
    <w:p w:rsidR="00F540EC" w:rsidRPr="00B6737A" w:rsidRDefault="00F540EC" w:rsidP="00F540EC">
      <w:pPr>
        <w:pStyle w:val="4"/>
        <w:jc w:val="both"/>
        <w:rPr>
          <w:color w:val="000000"/>
          <w:sz w:val="28"/>
          <w:szCs w:val="28"/>
        </w:rPr>
      </w:pPr>
      <w:r w:rsidRPr="00B6737A">
        <w:rPr>
          <w:sz w:val="28"/>
          <w:szCs w:val="28"/>
        </w:rPr>
        <w:t xml:space="preserve">         </w:t>
      </w:r>
      <w:r w:rsidRPr="00B6737A">
        <w:rPr>
          <w:b/>
          <w:sz w:val="28"/>
          <w:szCs w:val="28"/>
        </w:rPr>
        <w:t>4.</w:t>
      </w:r>
      <w:r w:rsidRPr="00B6737A">
        <w:rPr>
          <w:sz w:val="28"/>
          <w:szCs w:val="28"/>
        </w:rPr>
        <w:t xml:space="preserve"> Контроль за виконанням рішення покласти на постійну комісію  міської ради з питань законності, прав і свобод людини, регламе</w:t>
      </w:r>
      <w:r w:rsidRPr="00B6737A">
        <w:rPr>
          <w:sz w:val="28"/>
          <w:szCs w:val="28"/>
        </w:rPr>
        <w:t>н</w:t>
      </w:r>
      <w:r w:rsidRPr="00B6737A">
        <w:rPr>
          <w:sz w:val="28"/>
          <w:szCs w:val="28"/>
        </w:rPr>
        <w:t>ту, депутатської діяльності, етики та запобігання корупції</w:t>
      </w:r>
      <w:r>
        <w:rPr>
          <w:sz w:val="28"/>
          <w:szCs w:val="28"/>
        </w:rPr>
        <w:t>.</w:t>
      </w:r>
    </w:p>
    <w:p w:rsidR="00F540EC" w:rsidRPr="00B6737A" w:rsidRDefault="00F540EC" w:rsidP="00F540EC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F540EC" w:rsidRPr="00F4158E" w:rsidRDefault="00F540EC" w:rsidP="00F540EC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color w:val="000000"/>
          <w:sz w:val="16"/>
          <w:szCs w:val="16"/>
          <w:lang w:val="uk-UA"/>
        </w:rPr>
      </w:pPr>
    </w:p>
    <w:p w:rsidR="00F540EC" w:rsidRPr="00F4158E" w:rsidRDefault="00F540EC" w:rsidP="00F540EC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color w:val="000000"/>
          <w:sz w:val="16"/>
          <w:szCs w:val="16"/>
          <w:lang w:val="uk-UA"/>
        </w:rPr>
      </w:pPr>
    </w:p>
    <w:p w:rsidR="00F540EC" w:rsidRPr="00F4158E" w:rsidRDefault="00F540EC" w:rsidP="00F540EC">
      <w:pPr>
        <w:jc w:val="both"/>
        <w:rPr>
          <w:b/>
          <w:sz w:val="28"/>
          <w:szCs w:val="28"/>
          <w:lang w:val="uk-UA"/>
        </w:rPr>
      </w:pPr>
      <w:r w:rsidRPr="00F4158E">
        <w:rPr>
          <w:b/>
          <w:sz w:val="28"/>
          <w:szCs w:val="28"/>
          <w:lang w:val="uk-UA"/>
        </w:rPr>
        <w:t>Чернівецький міський голова                                                      О. Каспрук</w:t>
      </w:r>
    </w:p>
    <w:p w:rsidR="00F540EC" w:rsidRDefault="00F540EC" w:rsidP="00F540EC">
      <w:pPr>
        <w:rPr>
          <w:lang w:val="uk-UA"/>
        </w:rPr>
      </w:pPr>
    </w:p>
    <w:p w:rsidR="00F540EC" w:rsidRDefault="00F540EC" w:rsidP="00F540EC">
      <w:pPr>
        <w:rPr>
          <w:lang w:val="uk-UA"/>
        </w:rPr>
      </w:pPr>
    </w:p>
    <w:p w:rsidR="00157BD0" w:rsidRDefault="00157BD0"/>
    <w:sectPr w:rsidR="00157BD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0EC"/>
    <w:rsid w:val="00026F1C"/>
    <w:rsid w:val="00157BD0"/>
    <w:rsid w:val="002C34EF"/>
    <w:rsid w:val="00553BAB"/>
    <w:rsid w:val="005F43E1"/>
    <w:rsid w:val="00A933E5"/>
    <w:rsid w:val="00F540EC"/>
    <w:rsid w:val="00F55D8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1B09DD-DD10-4F35-9DEA-59E0151D0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40EC"/>
    <w:rPr>
      <w:sz w:val="24"/>
      <w:szCs w:val="24"/>
    </w:rPr>
  </w:style>
  <w:style w:type="paragraph" w:styleId="3">
    <w:name w:val="heading 3"/>
    <w:basedOn w:val="a"/>
    <w:next w:val="a"/>
    <w:qFormat/>
    <w:rsid w:val="00F540E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F540EC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F540EC"/>
    <w:pPr>
      <w:ind w:firstLine="830"/>
      <w:jc w:val="both"/>
    </w:pPr>
    <w:rPr>
      <w:sz w:val="28"/>
      <w:szCs w:val="20"/>
      <w:lang w:val="en-US"/>
    </w:rPr>
  </w:style>
  <w:style w:type="paragraph" w:styleId="a4">
    <w:name w:val="Body Text"/>
    <w:basedOn w:val="a"/>
    <w:rsid w:val="00F540EC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</vt:lpstr>
    </vt:vector>
  </TitlesOfParts>
  <Company>rada</Company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</dc:title>
  <dc:subject/>
  <dc:creator>Protokl4</dc:creator>
  <cp:keywords/>
  <dc:description/>
  <cp:lastModifiedBy>Kompvid2</cp:lastModifiedBy>
  <cp:revision>2</cp:revision>
  <dcterms:created xsi:type="dcterms:W3CDTF">2017-02-17T10:11:00Z</dcterms:created>
  <dcterms:modified xsi:type="dcterms:W3CDTF">2017-02-17T10:11:00Z</dcterms:modified>
</cp:coreProperties>
</file>