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05C2" w:rsidRPr="000F6A39" w:rsidRDefault="002A022F" w:rsidP="00AA7268">
      <w:pPr>
        <w:jc w:val="center"/>
        <w:rPr>
          <w:b/>
          <w:sz w:val="28"/>
          <w:szCs w:val="28"/>
        </w:rPr>
      </w:pPr>
      <w:bookmarkStart w:id="0" w:name="_GoBack"/>
      <w:bookmarkEnd w:id="0"/>
      <w:r>
        <w:rPr>
          <w:b/>
          <w:sz w:val="28"/>
          <w:szCs w:val="28"/>
        </w:rPr>
        <w:t>Інформація про виконання</w:t>
      </w:r>
      <w:r w:rsidR="00AA7268" w:rsidRPr="000F6A39">
        <w:rPr>
          <w:b/>
          <w:sz w:val="28"/>
          <w:szCs w:val="28"/>
        </w:rPr>
        <w:t xml:space="preserve"> пропозицій учасників громадських слухань з обговорення проекту міського бюджету на 201</w:t>
      </w:r>
      <w:r w:rsidR="00904C68" w:rsidRPr="000F6A39">
        <w:rPr>
          <w:b/>
          <w:sz w:val="28"/>
          <w:szCs w:val="28"/>
        </w:rPr>
        <w:t>7</w:t>
      </w:r>
      <w:r w:rsidR="00AA7268" w:rsidRPr="000F6A39">
        <w:rPr>
          <w:b/>
          <w:sz w:val="28"/>
          <w:szCs w:val="28"/>
        </w:rPr>
        <w:t xml:space="preserve"> рік</w:t>
      </w:r>
    </w:p>
    <w:p w:rsidR="00904C68" w:rsidRPr="000F6A39" w:rsidRDefault="00904C68" w:rsidP="00AA7268">
      <w:pPr>
        <w:jc w:val="center"/>
        <w:rPr>
          <w:b/>
          <w:sz w:val="28"/>
          <w:szCs w:val="28"/>
        </w:rPr>
      </w:pP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860"/>
        <w:gridCol w:w="2700"/>
        <w:gridCol w:w="6480"/>
      </w:tblGrid>
      <w:tr w:rsidR="007057EF" w:rsidRPr="00AD3CCD" w:rsidTr="0059796A">
        <w:tc>
          <w:tcPr>
            <w:tcW w:w="828" w:type="dxa"/>
            <w:shd w:val="clear" w:color="auto" w:fill="auto"/>
          </w:tcPr>
          <w:p w:rsidR="007057EF" w:rsidRPr="00AD3CCD" w:rsidRDefault="007057EF" w:rsidP="00AD3CCD">
            <w:pPr>
              <w:jc w:val="center"/>
              <w:rPr>
                <w:sz w:val="28"/>
                <w:szCs w:val="28"/>
              </w:rPr>
            </w:pPr>
            <w:r w:rsidRPr="00AD3CCD">
              <w:rPr>
                <w:sz w:val="28"/>
                <w:szCs w:val="28"/>
              </w:rPr>
              <w:t>№ з/п</w:t>
            </w:r>
          </w:p>
        </w:tc>
        <w:tc>
          <w:tcPr>
            <w:tcW w:w="4860" w:type="dxa"/>
            <w:shd w:val="clear" w:color="auto" w:fill="auto"/>
          </w:tcPr>
          <w:p w:rsidR="007057EF" w:rsidRPr="00AD3CCD" w:rsidRDefault="007057EF" w:rsidP="00AD3CCD">
            <w:pPr>
              <w:jc w:val="center"/>
              <w:rPr>
                <w:sz w:val="28"/>
                <w:szCs w:val="28"/>
              </w:rPr>
            </w:pPr>
            <w:r w:rsidRPr="00AD3CCD">
              <w:rPr>
                <w:sz w:val="28"/>
                <w:szCs w:val="28"/>
              </w:rPr>
              <w:t>Пропозиція</w:t>
            </w:r>
          </w:p>
        </w:tc>
        <w:tc>
          <w:tcPr>
            <w:tcW w:w="2700" w:type="dxa"/>
            <w:shd w:val="clear" w:color="auto" w:fill="auto"/>
          </w:tcPr>
          <w:p w:rsidR="007057EF" w:rsidRPr="00AD3CCD" w:rsidRDefault="007057EF" w:rsidP="00AD3CCD">
            <w:pPr>
              <w:jc w:val="center"/>
              <w:rPr>
                <w:sz w:val="28"/>
                <w:szCs w:val="28"/>
              </w:rPr>
            </w:pPr>
            <w:r w:rsidRPr="00AD3CCD">
              <w:rPr>
                <w:sz w:val="28"/>
                <w:szCs w:val="28"/>
              </w:rPr>
              <w:t>Відповідальний виконавець</w:t>
            </w:r>
          </w:p>
        </w:tc>
        <w:tc>
          <w:tcPr>
            <w:tcW w:w="6480" w:type="dxa"/>
            <w:shd w:val="clear" w:color="auto" w:fill="auto"/>
          </w:tcPr>
          <w:p w:rsidR="007057EF" w:rsidRPr="00AD3CCD" w:rsidRDefault="008541DA" w:rsidP="00AD3CCD">
            <w:pPr>
              <w:jc w:val="center"/>
              <w:rPr>
                <w:sz w:val="28"/>
                <w:szCs w:val="28"/>
              </w:rPr>
            </w:pPr>
            <w:r w:rsidRPr="00AD3CCD">
              <w:rPr>
                <w:sz w:val="28"/>
                <w:szCs w:val="28"/>
              </w:rPr>
              <w:t>Стан виконання</w:t>
            </w:r>
          </w:p>
        </w:tc>
      </w:tr>
      <w:tr w:rsidR="007057EF" w:rsidRPr="000F6A39" w:rsidTr="0059796A">
        <w:tc>
          <w:tcPr>
            <w:tcW w:w="828" w:type="dxa"/>
            <w:shd w:val="clear" w:color="auto" w:fill="auto"/>
          </w:tcPr>
          <w:p w:rsidR="007057EF" w:rsidRPr="000F6A39" w:rsidRDefault="007057EF" w:rsidP="00AD3CCD">
            <w:pPr>
              <w:jc w:val="center"/>
            </w:pPr>
            <w:r w:rsidRPr="000F6A39">
              <w:t>1</w:t>
            </w:r>
          </w:p>
        </w:tc>
        <w:tc>
          <w:tcPr>
            <w:tcW w:w="4860" w:type="dxa"/>
            <w:shd w:val="clear" w:color="auto" w:fill="auto"/>
          </w:tcPr>
          <w:p w:rsidR="007057EF" w:rsidRPr="000F6A39" w:rsidRDefault="007057EF">
            <w:r w:rsidRPr="000F6A39">
              <w:t>Передбачити можливість облаштування обсерваторії під час будівництва  Будинку культури  «Рогізна»</w:t>
            </w:r>
          </w:p>
        </w:tc>
        <w:tc>
          <w:tcPr>
            <w:tcW w:w="2700" w:type="dxa"/>
            <w:shd w:val="clear" w:color="auto" w:fill="auto"/>
          </w:tcPr>
          <w:p w:rsidR="007057EF" w:rsidRPr="00AD3CCD" w:rsidRDefault="007057EF" w:rsidP="00AD3CCD">
            <w:pPr>
              <w:pStyle w:val="ListParagraph"/>
              <w:spacing w:after="0" w:line="240" w:lineRule="auto"/>
              <w:ind w:left="0" w:firstLine="72"/>
              <w:rPr>
                <w:rFonts w:ascii="Times New Roman" w:hAnsi="Times New Roman"/>
                <w:bCs/>
                <w:sz w:val="24"/>
                <w:szCs w:val="24"/>
                <w:lang w:val="uk-UA"/>
              </w:rPr>
            </w:pPr>
            <w:r w:rsidRPr="00AD3CCD">
              <w:rPr>
                <w:rFonts w:ascii="Times New Roman" w:hAnsi="Times New Roman"/>
                <w:bCs/>
                <w:sz w:val="24"/>
                <w:szCs w:val="24"/>
                <w:lang w:val="uk-UA"/>
              </w:rPr>
              <w:t>ДМБК та ЗВ</w:t>
            </w:r>
          </w:p>
        </w:tc>
        <w:tc>
          <w:tcPr>
            <w:tcW w:w="6480" w:type="dxa"/>
            <w:shd w:val="clear" w:color="auto" w:fill="auto"/>
          </w:tcPr>
          <w:p w:rsidR="007057EF" w:rsidRPr="00AD3CCD" w:rsidRDefault="00DD4FCE" w:rsidP="00AD3CCD">
            <w:pPr>
              <w:pStyle w:val="ListParagraph"/>
              <w:spacing w:after="0" w:line="240" w:lineRule="auto"/>
              <w:ind w:left="0"/>
              <w:jc w:val="both"/>
              <w:rPr>
                <w:rFonts w:ascii="Times New Roman" w:hAnsi="Times New Roman"/>
                <w:bCs/>
                <w:sz w:val="24"/>
                <w:szCs w:val="24"/>
                <w:lang w:val="uk-UA"/>
              </w:rPr>
            </w:pPr>
            <w:r w:rsidRPr="00AD3CCD">
              <w:rPr>
                <w:rFonts w:ascii="Times New Roman" w:hAnsi="Times New Roman"/>
                <w:bCs/>
                <w:sz w:val="24"/>
                <w:szCs w:val="24"/>
                <w:lang w:val="uk-UA"/>
              </w:rPr>
              <w:t>На момент громадських слухань розпочато будівельні роботи згідно існуючого проекту, тому облаштування обсерваторії є неможливим.</w:t>
            </w:r>
          </w:p>
        </w:tc>
      </w:tr>
      <w:tr w:rsidR="007057EF" w:rsidRPr="000F6A39" w:rsidTr="0059796A">
        <w:tc>
          <w:tcPr>
            <w:tcW w:w="828" w:type="dxa"/>
            <w:shd w:val="clear" w:color="auto" w:fill="auto"/>
          </w:tcPr>
          <w:p w:rsidR="007057EF" w:rsidRPr="000F6A39" w:rsidRDefault="007057EF" w:rsidP="00AD3CCD">
            <w:pPr>
              <w:jc w:val="center"/>
            </w:pPr>
            <w:r w:rsidRPr="000F6A39">
              <w:t>2</w:t>
            </w:r>
          </w:p>
        </w:tc>
        <w:tc>
          <w:tcPr>
            <w:tcW w:w="4860" w:type="dxa"/>
            <w:shd w:val="clear" w:color="auto" w:fill="auto"/>
          </w:tcPr>
          <w:p w:rsidR="007057EF" w:rsidRPr="000F6A39" w:rsidRDefault="007057EF" w:rsidP="00B10F91">
            <w:r w:rsidRPr="000F6A39">
              <w:t>Передбачити видатки на ремонт доріг та мостів, поштового відділення, благоустрій мікрорайону «Рогізна»</w:t>
            </w:r>
          </w:p>
        </w:tc>
        <w:tc>
          <w:tcPr>
            <w:tcW w:w="2700" w:type="dxa"/>
            <w:shd w:val="clear" w:color="auto" w:fill="auto"/>
          </w:tcPr>
          <w:p w:rsidR="007057EF" w:rsidRPr="00AD3CCD" w:rsidRDefault="007057EF" w:rsidP="00AD3CCD">
            <w:pPr>
              <w:jc w:val="both"/>
              <w:rPr>
                <w:bCs/>
              </w:rPr>
            </w:pPr>
            <w:r w:rsidRPr="00AD3CCD">
              <w:rPr>
                <w:bCs/>
              </w:rPr>
              <w:t>ДЖКГ, ДМБК та ЗВ</w:t>
            </w:r>
          </w:p>
        </w:tc>
        <w:tc>
          <w:tcPr>
            <w:tcW w:w="6480" w:type="dxa"/>
            <w:shd w:val="clear" w:color="auto" w:fill="auto"/>
          </w:tcPr>
          <w:p w:rsidR="00944384" w:rsidRPr="00AD3CCD" w:rsidRDefault="00944384" w:rsidP="00AD3CCD">
            <w:pPr>
              <w:jc w:val="both"/>
              <w:rPr>
                <w:bCs/>
              </w:rPr>
            </w:pPr>
            <w:r w:rsidRPr="00AD3CCD">
              <w:rPr>
                <w:bCs/>
              </w:rPr>
              <w:t>Виконано поточний ремонт гравійних доріг на вул.І.Северина, Цілинній, Воззєнання.</w:t>
            </w:r>
          </w:p>
          <w:p w:rsidR="00D8220F" w:rsidRPr="00AD3CCD" w:rsidRDefault="00944384" w:rsidP="00AD3CCD">
            <w:pPr>
              <w:jc w:val="both"/>
              <w:rPr>
                <w:bCs/>
              </w:rPr>
            </w:pPr>
            <w:r w:rsidRPr="00AD3CCD">
              <w:rPr>
                <w:bCs/>
              </w:rPr>
              <w:t>Виконано капітальний ремонт вул. Возз'єднання (в районі клубу "Рогізна") та вул.Б.Крижанівського (від ДНЗ № 14 до будинку № 2) (асфальтування гравійної ділянки)</w:t>
            </w:r>
          </w:p>
          <w:p w:rsidR="00D166DA" w:rsidRPr="00AD3CCD" w:rsidRDefault="00D166DA" w:rsidP="00D166DA">
            <w:pPr>
              <w:rPr>
                <w:bCs/>
              </w:rPr>
            </w:pPr>
            <w:r w:rsidRPr="00AD3CCD">
              <w:rPr>
                <w:b/>
                <w:bCs/>
              </w:rPr>
              <w:t>Поштові відділення</w:t>
            </w:r>
            <w:r w:rsidRPr="00AD3CCD">
              <w:rPr>
                <w:bCs/>
              </w:rPr>
              <w:t xml:space="preserve"> знаходяться в орендованих приміщеннях. Орендар повинен </w:t>
            </w:r>
            <w:r w:rsidRPr="00AD3CCD">
              <w:rPr>
                <w:b/>
                <w:bCs/>
              </w:rPr>
              <w:t>за свій рахунок проводити ремонт приміщень</w:t>
            </w:r>
            <w:r w:rsidRPr="00AD3CCD">
              <w:rPr>
                <w:bCs/>
              </w:rPr>
              <w:t>.</w:t>
            </w:r>
          </w:p>
          <w:p w:rsidR="00860A35" w:rsidRPr="00AD3CCD" w:rsidRDefault="00860A35" w:rsidP="00D166DA">
            <w:pPr>
              <w:rPr>
                <w:bCs/>
              </w:rPr>
            </w:pPr>
            <w:r w:rsidRPr="00AD3CCD">
              <w:rPr>
                <w:bCs/>
              </w:rPr>
              <w:t>Орендарю направлено звернення щодо необхідності проведення ремонту. Для покращання температурного режиму орендар у приміщенні встановив електроконвектор, провів косметичний ремонт.</w:t>
            </w:r>
          </w:p>
          <w:p w:rsidR="00D166DA" w:rsidRPr="00AD3CCD" w:rsidRDefault="00D166DA" w:rsidP="00AD3CCD">
            <w:pPr>
              <w:jc w:val="both"/>
              <w:rPr>
                <w:bCs/>
              </w:rPr>
            </w:pPr>
            <w:r w:rsidRPr="00AD3CCD">
              <w:rPr>
                <w:b/>
                <w:bCs/>
              </w:rPr>
              <w:t>Щодо благоустрою мікрорайону "Рогізна»,</w:t>
            </w:r>
            <w:r w:rsidRPr="00AD3CCD">
              <w:rPr>
                <w:bCs/>
              </w:rPr>
              <w:t xml:space="preserve"> в рамках реалізації проекту «Бюджет ініціатив чернівчан» збудовано спортивний майданчик на вул. Гуцульській (навпроти житлового будинку №34).</w:t>
            </w:r>
          </w:p>
        </w:tc>
      </w:tr>
      <w:tr w:rsidR="007057EF" w:rsidRPr="000F6A39" w:rsidTr="0059796A">
        <w:tc>
          <w:tcPr>
            <w:tcW w:w="828" w:type="dxa"/>
            <w:shd w:val="clear" w:color="auto" w:fill="auto"/>
          </w:tcPr>
          <w:p w:rsidR="007057EF" w:rsidRPr="000F6A39" w:rsidRDefault="007057EF" w:rsidP="00AD3CCD">
            <w:pPr>
              <w:jc w:val="center"/>
            </w:pPr>
            <w:r w:rsidRPr="000F6A39">
              <w:t>3</w:t>
            </w:r>
          </w:p>
        </w:tc>
        <w:tc>
          <w:tcPr>
            <w:tcW w:w="4860" w:type="dxa"/>
            <w:shd w:val="clear" w:color="auto" w:fill="auto"/>
          </w:tcPr>
          <w:p w:rsidR="007057EF" w:rsidRPr="000F6A39" w:rsidRDefault="007057EF" w:rsidP="00B10F91">
            <w:r w:rsidRPr="000F6A39">
              <w:t>Завершити капітальний ремонт (асфальтування) вулиці І. Підкови</w:t>
            </w:r>
          </w:p>
        </w:tc>
        <w:tc>
          <w:tcPr>
            <w:tcW w:w="2700" w:type="dxa"/>
            <w:shd w:val="clear" w:color="auto" w:fill="auto"/>
          </w:tcPr>
          <w:p w:rsidR="007057EF" w:rsidRPr="00AD3CCD" w:rsidRDefault="007057EF" w:rsidP="00AD3CCD">
            <w:pPr>
              <w:jc w:val="both"/>
              <w:rPr>
                <w:bCs/>
              </w:rPr>
            </w:pPr>
            <w:r w:rsidRPr="00AD3CCD">
              <w:rPr>
                <w:bCs/>
              </w:rPr>
              <w:t>ДЖКГ</w:t>
            </w:r>
          </w:p>
        </w:tc>
        <w:tc>
          <w:tcPr>
            <w:tcW w:w="6480" w:type="dxa"/>
            <w:shd w:val="clear" w:color="auto" w:fill="auto"/>
          </w:tcPr>
          <w:p w:rsidR="002973A2" w:rsidRPr="00AD3CCD" w:rsidRDefault="004914B6" w:rsidP="00AD3CCD">
            <w:pPr>
              <w:jc w:val="both"/>
              <w:rPr>
                <w:bCs/>
              </w:rPr>
            </w:pPr>
            <w:r w:rsidRPr="00AD3CCD">
              <w:rPr>
                <w:bCs/>
              </w:rPr>
              <w:t>Асфальтування гравійної ділянки вул. І.Підкови в Програмі «Комфортне місто» передбачено на 2020 рік</w:t>
            </w:r>
          </w:p>
        </w:tc>
      </w:tr>
      <w:tr w:rsidR="004914B6" w:rsidRPr="000F6A39" w:rsidTr="0059796A">
        <w:tc>
          <w:tcPr>
            <w:tcW w:w="828" w:type="dxa"/>
            <w:shd w:val="clear" w:color="auto" w:fill="auto"/>
          </w:tcPr>
          <w:p w:rsidR="004914B6" w:rsidRPr="000F6A39" w:rsidRDefault="004914B6" w:rsidP="00AD3CCD">
            <w:pPr>
              <w:jc w:val="center"/>
            </w:pPr>
            <w:r w:rsidRPr="000F6A39">
              <w:t>4</w:t>
            </w:r>
          </w:p>
        </w:tc>
        <w:tc>
          <w:tcPr>
            <w:tcW w:w="4860" w:type="dxa"/>
            <w:shd w:val="clear" w:color="auto" w:fill="auto"/>
          </w:tcPr>
          <w:p w:rsidR="004914B6" w:rsidRPr="000F6A39" w:rsidRDefault="004914B6" w:rsidP="00B10F91">
            <w:r w:rsidRPr="000F6A39">
              <w:t>Збільшити видатки на капітальний ремонт доріг, у першу чергу магістральних</w:t>
            </w:r>
          </w:p>
        </w:tc>
        <w:tc>
          <w:tcPr>
            <w:tcW w:w="2700" w:type="dxa"/>
            <w:shd w:val="clear" w:color="auto" w:fill="auto"/>
          </w:tcPr>
          <w:p w:rsidR="004914B6" w:rsidRPr="00AD3CCD" w:rsidRDefault="004914B6" w:rsidP="00AD3CCD">
            <w:pPr>
              <w:jc w:val="both"/>
              <w:rPr>
                <w:bCs/>
              </w:rPr>
            </w:pPr>
            <w:r w:rsidRPr="00AD3CCD">
              <w:rPr>
                <w:bCs/>
              </w:rPr>
              <w:t>ДЖКГ</w:t>
            </w:r>
          </w:p>
        </w:tc>
        <w:tc>
          <w:tcPr>
            <w:tcW w:w="6480" w:type="dxa"/>
            <w:shd w:val="clear" w:color="auto" w:fill="auto"/>
          </w:tcPr>
          <w:p w:rsidR="004914B6" w:rsidRPr="00AD3CCD" w:rsidRDefault="00944384" w:rsidP="00C40DED">
            <w:pPr>
              <w:jc w:val="both"/>
              <w:rPr>
                <w:bCs/>
              </w:rPr>
            </w:pPr>
            <w:r w:rsidRPr="00AD3CCD">
              <w:rPr>
                <w:bCs/>
              </w:rPr>
              <w:t xml:space="preserve">Із 51,04 млн.грн. виділених на капремонт доріг, 20,3 млн.грн. на магістральні вулиці (40 відсотків). </w:t>
            </w:r>
            <w:r w:rsidR="00C40DED">
              <w:rPr>
                <w:bCs/>
              </w:rPr>
              <w:t>Виконано</w:t>
            </w:r>
            <w:r w:rsidRPr="00AD3CCD">
              <w:rPr>
                <w:bCs/>
              </w:rPr>
              <w:t xml:space="preserve"> – 17,8 млн.грн, із них 12,9 млн.грн. магістральні (Б.Хмельницького, Вижницька)</w:t>
            </w:r>
          </w:p>
        </w:tc>
      </w:tr>
      <w:tr w:rsidR="004914B6" w:rsidRPr="000F6A39" w:rsidTr="0059796A">
        <w:tc>
          <w:tcPr>
            <w:tcW w:w="828" w:type="dxa"/>
            <w:shd w:val="clear" w:color="auto" w:fill="auto"/>
          </w:tcPr>
          <w:p w:rsidR="004914B6" w:rsidRPr="000F6A39" w:rsidRDefault="004914B6" w:rsidP="00AD3CCD">
            <w:pPr>
              <w:jc w:val="center"/>
            </w:pPr>
            <w:r w:rsidRPr="000F6A39">
              <w:t>5</w:t>
            </w:r>
          </w:p>
        </w:tc>
        <w:tc>
          <w:tcPr>
            <w:tcW w:w="4860" w:type="dxa"/>
            <w:shd w:val="clear" w:color="auto" w:fill="auto"/>
          </w:tcPr>
          <w:p w:rsidR="004914B6" w:rsidRPr="000F6A39" w:rsidRDefault="004914B6" w:rsidP="00B10F91">
            <w:r w:rsidRPr="000F6A39">
              <w:t>Передбачити видатки на капітальний ремонт громадських вбиралень на вулицях Юнацькій, Надрічній, будівлі музею воїнам АТО на вул.Юнацькій (фасад, покрівля), бігових доріжок стадіону ДЮСШ № 4</w:t>
            </w:r>
          </w:p>
        </w:tc>
        <w:tc>
          <w:tcPr>
            <w:tcW w:w="2700" w:type="dxa"/>
            <w:shd w:val="clear" w:color="auto" w:fill="auto"/>
          </w:tcPr>
          <w:p w:rsidR="004914B6" w:rsidRPr="00AD3CCD" w:rsidRDefault="004914B6" w:rsidP="00AD3CCD">
            <w:pPr>
              <w:jc w:val="both"/>
              <w:rPr>
                <w:bCs/>
              </w:rPr>
            </w:pPr>
            <w:r w:rsidRPr="00AD3CCD">
              <w:rPr>
                <w:bCs/>
              </w:rPr>
              <w:t>ДМБК та ЗВ, управління освіти</w:t>
            </w:r>
          </w:p>
        </w:tc>
        <w:tc>
          <w:tcPr>
            <w:tcW w:w="6480" w:type="dxa"/>
            <w:shd w:val="clear" w:color="auto" w:fill="auto"/>
          </w:tcPr>
          <w:p w:rsidR="00D166DA" w:rsidRPr="00AD3CCD" w:rsidRDefault="00D166DA" w:rsidP="00AD3CCD">
            <w:pPr>
              <w:jc w:val="both"/>
              <w:rPr>
                <w:bCs/>
              </w:rPr>
            </w:pPr>
            <w:r w:rsidRPr="00AD3CCD">
              <w:rPr>
                <w:bCs/>
              </w:rPr>
              <w:t xml:space="preserve">Громадські вбиральні на вул.Юнацькій, Надрічній не є об’єктами комунального майна, тому ДМБК та ЗВ не може виконати ремонт за </w:t>
            </w:r>
            <w:r w:rsidR="00182804">
              <w:rPr>
                <w:bCs/>
              </w:rPr>
              <w:t xml:space="preserve">бедж </w:t>
            </w:r>
            <w:r w:rsidRPr="00AD3CCD">
              <w:rPr>
                <w:bCs/>
              </w:rPr>
              <w:t>етні кошти.</w:t>
            </w:r>
          </w:p>
          <w:p w:rsidR="00D166DA" w:rsidRPr="00AD3CCD" w:rsidRDefault="00D166DA" w:rsidP="00AD3CCD">
            <w:pPr>
              <w:jc w:val="both"/>
              <w:rPr>
                <w:bCs/>
              </w:rPr>
            </w:pPr>
            <w:r w:rsidRPr="00AD3CCD">
              <w:rPr>
                <w:bCs/>
              </w:rPr>
              <w:t xml:space="preserve">В ході обстеження будівлі музею воїнам АТО на вул.Юнацькій працівниками ДЖКГ міської ради, визначено, </w:t>
            </w:r>
            <w:r w:rsidRPr="00AD3CCD">
              <w:rPr>
                <w:bCs/>
              </w:rPr>
              <w:lastRenderedPageBreak/>
              <w:t>що проводити ремонтні роботи даної будівлі є недоцільним через критичний технічний стан.</w:t>
            </w:r>
          </w:p>
          <w:p w:rsidR="004914B6" w:rsidRPr="00AD3CCD" w:rsidRDefault="00D166DA" w:rsidP="00AD3CCD">
            <w:pPr>
              <w:jc w:val="both"/>
              <w:rPr>
                <w:bCs/>
              </w:rPr>
            </w:pPr>
            <w:r w:rsidRPr="00AD3CCD">
              <w:rPr>
                <w:bCs/>
              </w:rPr>
              <w:t xml:space="preserve">В жовтні проведено процедуру електронних закупівель на капітальний ремонт бігових доріжок стадіону ДЮСШ № 4, укладено договір. Через затягування підрядною організацією виконання робіт </w:t>
            </w:r>
            <w:r w:rsidRPr="000F6A39">
              <w:t>д</w:t>
            </w:r>
            <w:r w:rsidRPr="00AD3CCD">
              <w:rPr>
                <w:bCs/>
              </w:rPr>
              <w:t>оговір розірвано.</w:t>
            </w:r>
            <w:r w:rsidR="00182C0D" w:rsidRPr="00AD3CCD">
              <w:rPr>
                <w:bCs/>
              </w:rPr>
              <w:t xml:space="preserve"> Враховуючи звернення адміністрації, педагогічного колективу, батьків учнів-спортсменів ДЮСШ № 4</w:t>
            </w:r>
            <w:r w:rsidR="00802043" w:rsidRPr="00AD3CCD">
              <w:rPr>
                <w:bCs/>
              </w:rPr>
              <w:t>,</w:t>
            </w:r>
            <w:r w:rsidR="00182C0D" w:rsidRPr="00AD3CCD">
              <w:rPr>
                <w:bCs/>
              </w:rPr>
              <w:t xml:space="preserve"> подано бюджетний запит щодо виділення у 2018 році коштів на </w:t>
            </w:r>
            <w:r w:rsidRPr="00AD3CCD">
              <w:rPr>
                <w:bCs/>
              </w:rPr>
              <w:t>будівництво багатофункціонального спортивного майданчика ДЮСШ № 4.</w:t>
            </w:r>
          </w:p>
        </w:tc>
      </w:tr>
      <w:tr w:rsidR="004914B6" w:rsidRPr="000F6A39" w:rsidTr="0059796A">
        <w:tc>
          <w:tcPr>
            <w:tcW w:w="828" w:type="dxa"/>
            <w:shd w:val="clear" w:color="auto" w:fill="auto"/>
          </w:tcPr>
          <w:p w:rsidR="004914B6" w:rsidRPr="000F6A39" w:rsidRDefault="004914B6" w:rsidP="00AD3CCD">
            <w:pPr>
              <w:jc w:val="center"/>
            </w:pPr>
            <w:r w:rsidRPr="000F6A39">
              <w:lastRenderedPageBreak/>
              <w:t>6</w:t>
            </w:r>
          </w:p>
        </w:tc>
        <w:tc>
          <w:tcPr>
            <w:tcW w:w="4860" w:type="dxa"/>
            <w:shd w:val="clear" w:color="auto" w:fill="auto"/>
          </w:tcPr>
          <w:p w:rsidR="004914B6" w:rsidRPr="000F6A39" w:rsidRDefault="004914B6" w:rsidP="00B10F91">
            <w:r w:rsidRPr="000F6A39">
              <w:t>Розробити  механізм надання фінансової допомоги з міського бюджету приватним школам на оплату комунальних послуг</w:t>
            </w:r>
          </w:p>
        </w:tc>
        <w:tc>
          <w:tcPr>
            <w:tcW w:w="2700" w:type="dxa"/>
            <w:shd w:val="clear" w:color="auto" w:fill="auto"/>
          </w:tcPr>
          <w:p w:rsidR="004914B6" w:rsidRPr="00AD3CCD" w:rsidRDefault="004914B6" w:rsidP="00AD3CCD">
            <w:pPr>
              <w:jc w:val="both"/>
              <w:rPr>
                <w:bCs/>
              </w:rPr>
            </w:pPr>
            <w:r w:rsidRPr="00AD3CCD">
              <w:rPr>
                <w:bCs/>
              </w:rPr>
              <w:t>ФУ, управління освіти</w:t>
            </w:r>
          </w:p>
        </w:tc>
        <w:tc>
          <w:tcPr>
            <w:tcW w:w="6480" w:type="dxa"/>
            <w:shd w:val="clear" w:color="auto" w:fill="auto"/>
          </w:tcPr>
          <w:p w:rsidR="004914B6" w:rsidRPr="00AD3CCD" w:rsidRDefault="009A24E3" w:rsidP="00AD3CCD">
            <w:pPr>
              <w:jc w:val="both"/>
              <w:rPr>
                <w:bCs/>
              </w:rPr>
            </w:pPr>
            <w:r w:rsidRPr="00AD3CCD">
              <w:rPr>
                <w:bCs/>
              </w:rPr>
              <w:t>Підготовлено запит в Міністерство фінансів України.</w:t>
            </w:r>
          </w:p>
          <w:p w:rsidR="009A24E3" w:rsidRPr="00AD3CCD" w:rsidRDefault="009A24E3" w:rsidP="00AD3CCD">
            <w:pPr>
              <w:jc w:val="both"/>
              <w:rPr>
                <w:bCs/>
              </w:rPr>
            </w:pPr>
            <w:r w:rsidRPr="00AD3CCD">
              <w:rPr>
                <w:bCs/>
              </w:rPr>
              <w:t xml:space="preserve">Отримано </w:t>
            </w:r>
            <w:r w:rsidR="000F6A39" w:rsidRPr="00AD3CCD">
              <w:rPr>
                <w:bCs/>
              </w:rPr>
              <w:t xml:space="preserve">відповідь про те, що </w:t>
            </w:r>
            <w:r w:rsidR="00311A36" w:rsidRPr="00AD3CCD">
              <w:rPr>
                <w:bCs/>
              </w:rPr>
              <w:t xml:space="preserve">відповідно до законодавства </w:t>
            </w:r>
            <w:r w:rsidR="000F6A39" w:rsidRPr="00AD3CCD">
              <w:rPr>
                <w:bCs/>
              </w:rPr>
              <w:t>фінансування приватних шкіл здійснюється за рахунок засновника</w:t>
            </w:r>
            <w:r w:rsidR="00182C0D" w:rsidRPr="00AD3CCD">
              <w:rPr>
                <w:bCs/>
              </w:rPr>
              <w:t>. Водночас у грудні ц.р. рішенням виконавчого комітету затверджено фінансові нормативи витрат на отримання послуг в бюджетних установах м. Чернівці, в т.ч. освітніх, що дозволяє розробити міську програму підтримки приватної освіти.</w:t>
            </w:r>
          </w:p>
        </w:tc>
      </w:tr>
      <w:tr w:rsidR="004914B6" w:rsidRPr="000F6A39" w:rsidTr="0059796A">
        <w:tc>
          <w:tcPr>
            <w:tcW w:w="828" w:type="dxa"/>
            <w:shd w:val="clear" w:color="auto" w:fill="auto"/>
          </w:tcPr>
          <w:p w:rsidR="004914B6" w:rsidRPr="000F6A39" w:rsidRDefault="004914B6" w:rsidP="00AD3CCD">
            <w:pPr>
              <w:jc w:val="center"/>
            </w:pPr>
            <w:r w:rsidRPr="000F6A39">
              <w:t>7</w:t>
            </w:r>
          </w:p>
        </w:tc>
        <w:tc>
          <w:tcPr>
            <w:tcW w:w="4860" w:type="dxa"/>
            <w:shd w:val="clear" w:color="auto" w:fill="auto"/>
          </w:tcPr>
          <w:p w:rsidR="004914B6" w:rsidRPr="000F6A39" w:rsidRDefault="004914B6" w:rsidP="00B10F91">
            <w:r w:rsidRPr="000F6A39">
              <w:t>Розробити та затвердити програму реставрації (відновлення) будинків в історичній частині міста, виділити  кошти на її реалізацію</w:t>
            </w:r>
          </w:p>
        </w:tc>
        <w:tc>
          <w:tcPr>
            <w:tcW w:w="2700" w:type="dxa"/>
            <w:shd w:val="clear" w:color="auto" w:fill="auto"/>
          </w:tcPr>
          <w:p w:rsidR="004914B6" w:rsidRPr="00AD3CCD" w:rsidRDefault="004914B6" w:rsidP="00AD3CCD">
            <w:pPr>
              <w:jc w:val="both"/>
              <w:rPr>
                <w:bCs/>
              </w:rPr>
            </w:pPr>
            <w:r w:rsidRPr="00AD3CCD">
              <w:rPr>
                <w:bCs/>
              </w:rPr>
              <w:t>ДМБК та ЗВ, відділ охорони культурної спадщини</w:t>
            </w:r>
          </w:p>
        </w:tc>
        <w:tc>
          <w:tcPr>
            <w:tcW w:w="6480" w:type="dxa"/>
            <w:shd w:val="clear" w:color="auto" w:fill="auto"/>
          </w:tcPr>
          <w:p w:rsidR="007011E6" w:rsidRPr="00AD3CCD" w:rsidRDefault="007011E6" w:rsidP="00AD3CCD">
            <w:pPr>
              <w:jc w:val="both"/>
              <w:rPr>
                <w:color w:val="000000"/>
              </w:rPr>
            </w:pPr>
            <w:r w:rsidRPr="00AD3CCD">
              <w:rPr>
                <w:bCs/>
              </w:rPr>
              <w:t xml:space="preserve">Комплексна програма збереження історичної забудови міста Чернівців розроблена. В рамках Програми </w:t>
            </w:r>
            <w:r w:rsidRPr="00AD3CCD">
              <w:rPr>
                <w:color w:val="000000"/>
              </w:rPr>
              <w:t xml:space="preserve">за дольовою участю мешканців у співфінансуванні відреставровано 25 брам в історичній частині міста. </w:t>
            </w:r>
            <w:r w:rsidRPr="000F6A39">
              <w:t xml:space="preserve">Проведено інвентаризацію об’єктів культурної спадщини м.Чернівців </w:t>
            </w:r>
            <w:r w:rsidRPr="00AD3CCD">
              <w:rPr>
                <w:color w:val="000000"/>
                <w:shd w:val="clear" w:color="auto" w:fill="FFFFFF"/>
              </w:rPr>
              <w:t>(вул.Гагаріна, 38, Головна, 22, Садова,1</w:t>
            </w:r>
            <w:r w:rsidRPr="00AD3CCD">
              <w:rPr>
                <w:color w:val="000000"/>
                <w:sz w:val="22"/>
                <w:szCs w:val="22"/>
                <w:shd w:val="clear" w:color="auto" w:fill="FFFFFF"/>
              </w:rPr>
              <w:t>, площа Філармонії, 10, Шептицького, 10, Я.Мудрого, 192-Г)</w:t>
            </w:r>
            <w:r w:rsidRPr="00AD3CCD">
              <w:rPr>
                <w:color w:val="000000"/>
                <w:sz w:val="22"/>
                <w:szCs w:val="22"/>
              </w:rPr>
              <w:t>.</w:t>
            </w:r>
          </w:p>
          <w:p w:rsidR="004914B6" w:rsidRPr="00AD3CCD" w:rsidRDefault="004914B6" w:rsidP="00AD3CCD">
            <w:pPr>
              <w:jc w:val="both"/>
              <w:rPr>
                <w:bCs/>
              </w:rPr>
            </w:pPr>
          </w:p>
        </w:tc>
      </w:tr>
      <w:tr w:rsidR="00997FA6" w:rsidRPr="000F6A39" w:rsidTr="0059796A">
        <w:tc>
          <w:tcPr>
            <w:tcW w:w="828" w:type="dxa"/>
            <w:shd w:val="clear" w:color="auto" w:fill="auto"/>
          </w:tcPr>
          <w:p w:rsidR="00997FA6" w:rsidRPr="000F6A39" w:rsidRDefault="00997FA6" w:rsidP="00AD3CCD">
            <w:pPr>
              <w:jc w:val="center"/>
            </w:pPr>
            <w:r w:rsidRPr="000F6A39">
              <w:t>8</w:t>
            </w:r>
          </w:p>
        </w:tc>
        <w:tc>
          <w:tcPr>
            <w:tcW w:w="4860" w:type="dxa"/>
            <w:shd w:val="clear" w:color="auto" w:fill="auto"/>
          </w:tcPr>
          <w:p w:rsidR="00997FA6" w:rsidRPr="000F6A39" w:rsidRDefault="00997FA6" w:rsidP="00B10F91">
            <w:r w:rsidRPr="000F6A39">
              <w:t>При розподілі залишків, що утворяться у міському бюджеті  станом на 01.01.2017 р., спрямовувати кошти на фінансування великих інфраструктурних об’єктів за результатами проведення консультацій з громадськістю (громадського обговорення)</w:t>
            </w:r>
          </w:p>
        </w:tc>
        <w:tc>
          <w:tcPr>
            <w:tcW w:w="2700" w:type="dxa"/>
            <w:shd w:val="clear" w:color="auto" w:fill="auto"/>
          </w:tcPr>
          <w:p w:rsidR="00997FA6" w:rsidRPr="00AD3CCD" w:rsidRDefault="00997FA6" w:rsidP="00AD3CCD">
            <w:pPr>
              <w:jc w:val="both"/>
              <w:rPr>
                <w:bCs/>
              </w:rPr>
            </w:pPr>
            <w:r w:rsidRPr="00AD3CCD">
              <w:rPr>
                <w:bCs/>
              </w:rPr>
              <w:t>ДЖКГ, ДМБК та ЗВ</w:t>
            </w:r>
          </w:p>
        </w:tc>
        <w:tc>
          <w:tcPr>
            <w:tcW w:w="6480" w:type="dxa"/>
            <w:shd w:val="clear" w:color="auto" w:fill="auto"/>
          </w:tcPr>
          <w:p w:rsidR="00997FA6" w:rsidRPr="00AD3CCD" w:rsidRDefault="00997FA6" w:rsidP="00AD3CCD">
            <w:pPr>
              <w:jc w:val="both"/>
              <w:rPr>
                <w:bCs/>
              </w:rPr>
            </w:pPr>
            <w:r w:rsidRPr="00AD3CCD">
              <w:rPr>
                <w:bCs/>
              </w:rPr>
              <w:t xml:space="preserve">Кошти спрямовано на фінансування великих інфраструктурних об’єктів (в тому числі перехідних), а саме: будівництво дитячої дошкільної установи на 160 місць в мікрорайоні Ленківці на 4 провул.Вільшини, 13, реконструкція будівлі на вул.Авангардній, 17 під дошкільний навчальний заклад, реконструкція будівлі на вул. Вірменській,17-А під дошкільний навчальний заклад, житловий мікрорайон по вул.Д.Лукіяновича  - будівництво  (захист від підтоплення та відведення поверхневого стоку на </w:t>
            </w:r>
            <w:r w:rsidRPr="00AD3CCD">
              <w:rPr>
                <w:bCs/>
              </w:rPr>
              <w:lastRenderedPageBreak/>
              <w:t>території під забудову), будівництво житлового кварталу по проспекту Незалежності (інженерні забезпечення). Газопостачання ІІІ черга, будівництво житлового кварталу по проспекту Незалежності (інженерні забезпечення). Електропостачання ІV черга, будівництво стадіону із штучним покриттям на вул.Головній,265.</w:t>
            </w:r>
          </w:p>
        </w:tc>
      </w:tr>
      <w:tr w:rsidR="00997FA6" w:rsidRPr="000F6A39" w:rsidTr="0059796A">
        <w:tc>
          <w:tcPr>
            <w:tcW w:w="828" w:type="dxa"/>
            <w:shd w:val="clear" w:color="auto" w:fill="auto"/>
          </w:tcPr>
          <w:p w:rsidR="00997FA6" w:rsidRPr="000F6A39" w:rsidRDefault="00997FA6" w:rsidP="00AD3CCD">
            <w:pPr>
              <w:jc w:val="center"/>
            </w:pPr>
            <w:r w:rsidRPr="000F6A39">
              <w:lastRenderedPageBreak/>
              <w:t>9</w:t>
            </w:r>
          </w:p>
        </w:tc>
        <w:tc>
          <w:tcPr>
            <w:tcW w:w="4860" w:type="dxa"/>
            <w:shd w:val="clear" w:color="auto" w:fill="auto"/>
          </w:tcPr>
          <w:p w:rsidR="00997FA6" w:rsidRPr="000F6A39" w:rsidRDefault="00997FA6" w:rsidP="00B10F91">
            <w:r w:rsidRPr="000F6A39">
              <w:t>При розподілі залишків, що утворяться у міському бюджеті станом на 01.01.2017 р., збільшити видатки на реалізацію заходів програми каналізування м.Чернівці</w:t>
            </w:r>
          </w:p>
        </w:tc>
        <w:tc>
          <w:tcPr>
            <w:tcW w:w="2700" w:type="dxa"/>
            <w:shd w:val="clear" w:color="auto" w:fill="auto"/>
          </w:tcPr>
          <w:p w:rsidR="00997FA6" w:rsidRPr="00AD3CCD" w:rsidRDefault="00997FA6" w:rsidP="00AD3CCD">
            <w:pPr>
              <w:jc w:val="both"/>
              <w:rPr>
                <w:bCs/>
              </w:rPr>
            </w:pPr>
            <w:r w:rsidRPr="00AD3CCD">
              <w:rPr>
                <w:bCs/>
              </w:rPr>
              <w:t>ДЖКГ, ДМБК та ЗВ</w:t>
            </w:r>
          </w:p>
        </w:tc>
        <w:tc>
          <w:tcPr>
            <w:tcW w:w="6480" w:type="dxa"/>
            <w:shd w:val="clear" w:color="auto" w:fill="auto"/>
          </w:tcPr>
          <w:p w:rsidR="00997FA6" w:rsidRPr="00AD3CCD" w:rsidRDefault="00997FA6" w:rsidP="00AD3CCD">
            <w:pPr>
              <w:jc w:val="both"/>
              <w:rPr>
                <w:bCs/>
              </w:rPr>
            </w:pPr>
            <w:r w:rsidRPr="00AD3CCD">
              <w:rPr>
                <w:bCs/>
              </w:rPr>
              <w:t>Департамент житлово-комунального господарства міської ради надає спільно з МКП “Чернівціводоканал” свої пропозиції щодо реалізації заходів програми каналізування м. Чернівці. Збільшено видатки на будівництво водопровідних та каналізаційних мереж по вул.Селятинській, будівництво зливово-каналізаційних та водопровідних мереж по вул.Заставнянській мр-ну "Роша" м.Чернівці (ІІ черга), будівництво каналізаційного колектора від РКНС №8 до вул.Таджицької, будівництво каналізаційного колектора ДУ 1000мм на вул.Роменськй на ділянці від вул.Руської до вул.Високої.</w:t>
            </w:r>
          </w:p>
        </w:tc>
      </w:tr>
      <w:tr w:rsidR="00997FA6" w:rsidRPr="000F6A39" w:rsidTr="0059796A">
        <w:tc>
          <w:tcPr>
            <w:tcW w:w="828" w:type="dxa"/>
            <w:shd w:val="clear" w:color="auto" w:fill="auto"/>
          </w:tcPr>
          <w:p w:rsidR="00997FA6" w:rsidRPr="000F6A39" w:rsidRDefault="00997FA6" w:rsidP="00AD3CCD">
            <w:pPr>
              <w:jc w:val="center"/>
            </w:pPr>
            <w:r w:rsidRPr="000F6A39">
              <w:t>10</w:t>
            </w:r>
          </w:p>
        </w:tc>
        <w:tc>
          <w:tcPr>
            <w:tcW w:w="4860" w:type="dxa"/>
            <w:shd w:val="clear" w:color="auto" w:fill="auto"/>
          </w:tcPr>
          <w:p w:rsidR="00997FA6" w:rsidRPr="000F6A39" w:rsidRDefault="00997FA6" w:rsidP="00B10F91">
            <w:r w:rsidRPr="000F6A39">
              <w:t>Розробити програму озеленення міста Чернівці та винести її для затвердження на розгляд міської ради</w:t>
            </w:r>
          </w:p>
        </w:tc>
        <w:tc>
          <w:tcPr>
            <w:tcW w:w="2700" w:type="dxa"/>
            <w:shd w:val="clear" w:color="auto" w:fill="auto"/>
          </w:tcPr>
          <w:p w:rsidR="00997FA6" w:rsidRPr="00AD3CCD" w:rsidRDefault="00997FA6" w:rsidP="00AD3CCD">
            <w:pPr>
              <w:jc w:val="both"/>
              <w:rPr>
                <w:bCs/>
              </w:rPr>
            </w:pPr>
            <w:r w:rsidRPr="00AD3CCD">
              <w:rPr>
                <w:bCs/>
              </w:rPr>
              <w:t>ДЖКГ</w:t>
            </w:r>
          </w:p>
        </w:tc>
        <w:tc>
          <w:tcPr>
            <w:tcW w:w="6480" w:type="dxa"/>
            <w:shd w:val="clear" w:color="auto" w:fill="auto"/>
          </w:tcPr>
          <w:p w:rsidR="00997FA6" w:rsidRPr="00AD3CCD" w:rsidRDefault="00997FA6" w:rsidP="00AD3CCD">
            <w:pPr>
              <w:jc w:val="both"/>
              <w:rPr>
                <w:bCs/>
              </w:rPr>
            </w:pPr>
            <w:r w:rsidRPr="00AD3CCD">
              <w:rPr>
                <w:bCs/>
              </w:rPr>
              <w:t>На даний час департаментом житлово-комунального господарства міської ради завершується розробка Програми озеленення міста, яку планується винести на розгляд сесії міської ради у березні 2018 року</w:t>
            </w:r>
          </w:p>
        </w:tc>
      </w:tr>
      <w:tr w:rsidR="00997FA6" w:rsidRPr="000F6A39" w:rsidTr="0059796A">
        <w:tc>
          <w:tcPr>
            <w:tcW w:w="828" w:type="dxa"/>
            <w:shd w:val="clear" w:color="auto" w:fill="auto"/>
          </w:tcPr>
          <w:p w:rsidR="00997FA6" w:rsidRPr="000F6A39" w:rsidRDefault="00997FA6" w:rsidP="00AD3CCD">
            <w:pPr>
              <w:jc w:val="center"/>
            </w:pPr>
            <w:r w:rsidRPr="000F6A39">
              <w:t>11</w:t>
            </w:r>
          </w:p>
        </w:tc>
        <w:tc>
          <w:tcPr>
            <w:tcW w:w="4860" w:type="dxa"/>
            <w:shd w:val="clear" w:color="auto" w:fill="auto"/>
          </w:tcPr>
          <w:p w:rsidR="00997FA6" w:rsidRPr="00AD3CCD" w:rsidRDefault="00997FA6" w:rsidP="00B10F91">
            <w:pPr>
              <w:rPr>
                <w:color w:val="FF0000"/>
              </w:rPr>
            </w:pPr>
            <w:r w:rsidRPr="000F6A39">
              <w:t>Вивчити можливість запровадження заборони здачі в експлуатацію індивідуальних житлових будинків без локальних очисних споруд</w:t>
            </w:r>
          </w:p>
        </w:tc>
        <w:tc>
          <w:tcPr>
            <w:tcW w:w="2700" w:type="dxa"/>
            <w:shd w:val="clear" w:color="auto" w:fill="auto"/>
          </w:tcPr>
          <w:p w:rsidR="00997FA6" w:rsidRPr="00AD3CCD" w:rsidRDefault="00997FA6" w:rsidP="00AD3CCD">
            <w:pPr>
              <w:jc w:val="both"/>
              <w:rPr>
                <w:bCs/>
              </w:rPr>
            </w:pPr>
            <w:r w:rsidRPr="00AD3CCD">
              <w:rPr>
                <w:bCs/>
              </w:rPr>
              <w:t>ДЖКГ</w:t>
            </w:r>
          </w:p>
        </w:tc>
        <w:tc>
          <w:tcPr>
            <w:tcW w:w="6480" w:type="dxa"/>
            <w:shd w:val="clear" w:color="auto" w:fill="auto"/>
          </w:tcPr>
          <w:p w:rsidR="00997FA6" w:rsidRPr="00AD3CCD" w:rsidRDefault="00997FA6" w:rsidP="00AD3CCD">
            <w:pPr>
              <w:jc w:val="both"/>
              <w:rPr>
                <w:bCs/>
              </w:rPr>
            </w:pPr>
            <w:r w:rsidRPr="00AD3CCD">
              <w:rPr>
                <w:bCs/>
              </w:rPr>
              <w:t xml:space="preserve">На сьогоднішній день КП “Чернівціводоканал” в технічних умовах на водопостачання обов’язково передбачає для індивідуальної забудови  будівництво локальних очисних споруд. (при відсутності міських каналізаційних мереж). Виконання ТУ контролюється архітектурно-будівельною інспекцією при здачі об’єкта в експлуатацію.  </w:t>
            </w:r>
          </w:p>
        </w:tc>
      </w:tr>
      <w:tr w:rsidR="00997FA6" w:rsidRPr="000F6A39" w:rsidTr="0059796A">
        <w:tc>
          <w:tcPr>
            <w:tcW w:w="828" w:type="dxa"/>
            <w:shd w:val="clear" w:color="auto" w:fill="auto"/>
          </w:tcPr>
          <w:p w:rsidR="00997FA6" w:rsidRPr="000F6A39" w:rsidRDefault="00997FA6" w:rsidP="00AD3CCD">
            <w:pPr>
              <w:jc w:val="center"/>
            </w:pPr>
            <w:r w:rsidRPr="000F6A39">
              <w:t>12</w:t>
            </w:r>
          </w:p>
        </w:tc>
        <w:tc>
          <w:tcPr>
            <w:tcW w:w="4860" w:type="dxa"/>
            <w:shd w:val="clear" w:color="auto" w:fill="auto"/>
          </w:tcPr>
          <w:p w:rsidR="00997FA6" w:rsidRPr="000F6A39" w:rsidRDefault="00997FA6" w:rsidP="00B10F91">
            <w:r w:rsidRPr="000F6A39">
              <w:t>Інформувати громаду міста  щодо економії бюджетних коштів</w:t>
            </w:r>
          </w:p>
        </w:tc>
        <w:tc>
          <w:tcPr>
            <w:tcW w:w="2700" w:type="dxa"/>
            <w:shd w:val="clear" w:color="auto" w:fill="auto"/>
          </w:tcPr>
          <w:p w:rsidR="00997FA6" w:rsidRPr="00AD3CCD" w:rsidRDefault="00997FA6" w:rsidP="00AD3CCD">
            <w:pPr>
              <w:jc w:val="both"/>
              <w:rPr>
                <w:bCs/>
              </w:rPr>
            </w:pPr>
            <w:r w:rsidRPr="00AD3CCD">
              <w:rPr>
                <w:bCs/>
              </w:rPr>
              <w:t>ФУ, головні розпорядники</w:t>
            </w:r>
          </w:p>
        </w:tc>
        <w:tc>
          <w:tcPr>
            <w:tcW w:w="6480" w:type="dxa"/>
            <w:shd w:val="clear" w:color="auto" w:fill="auto"/>
          </w:tcPr>
          <w:p w:rsidR="00997FA6" w:rsidRPr="00AD3CCD" w:rsidRDefault="00997FA6" w:rsidP="00AD3CCD">
            <w:pPr>
              <w:jc w:val="both"/>
              <w:rPr>
                <w:bCs/>
              </w:rPr>
            </w:pPr>
            <w:r w:rsidRPr="00AD3CCD">
              <w:rPr>
                <w:bCs/>
              </w:rPr>
              <w:t xml:space="preserve">На сайті міської ради в розділі «Оголошення» розміщується інформація щодо публічних закупівель, зокрема обсягів економії бюджетних коштів  </w:t>
            </w:r>
          </w:p>
        </w:tc>
      </w:tr>
      <w:tr w:rsidR="00997FA6" w:rsidRPr="000F6A39" w:rsidTr="0059796A">
        <w:tc>
          <w:tcPr>
            <w:tcW w:w="828" w:type="dxa"/>
            <w:shd w:val="clear" w:color="auto" w:fill="auto"/>
          </w:tcPr>
          <w:p w:rsidR="00997FA6" w:rsidRPr="000F6A39" w:rsidRDefault="00997FA6" w:rsidP="00AD3CCD">
            <w:pPr>
              <w:jc w:val="center"/>
            </w:pPr>
            <w:r w:rsidRPr="000F6A39">
              <w:t>13</w:t>
            </w:r>
          </w:p>
        </w:tc>
        <w:tc>
          <w:tcPr>
            <w:tcW w:w="4860" w:type="dxa"/>
            <w:shd w:val="clear" w:color="auto" w:fill="auto"/>
          </w:tcPr>
          <w:p w:rsidR="00997FA6" w:rsidRPr="000F6A39" w:rsidRDefault="00997FA6" w:rsidP="00B10F91">
            <w:r w:rsidRPr="000F6A39">
              <w:t>Інформувати громаду міста про обсяги залучених кредитних  коштів та зобов’язання щодо їх повернення</w:t>
            </w:r>
          </w:p>
        </w:tc>
        <w:tc>
          <w:tcPr>
            <w:tcW w:w="2700" w:type="dxa"/>
            <w:shd w:val="clear" w:color="auto" w:fill="auto"/>
          </w:tcPr>
          <w:p w:rsidR="00997FA6" w:rsidRPr="00AD3CCD" w:rsidRDefault="00997FA6" w:rsidP="00AD3CCD">
            <w:pPr>
              <w:jc w:val="both"/>
              <w:rPr>
                <w:bCs/>
              </w:rPr>
            </w:pPr>
            <w:r w:rsidRPr="00AD3CCD">
              <w:rPr>
                <w:bCs/>
              </w:rPr>
              <w:t>ФУ, відділ інвестицій та міжнародних зв’язків</w:t>
            </w:r>
          </w:p>
        </w:tc>
        <w:tc>
          <w:tcPr>
            <w:tcW w:w="6480" w:type="dxa"/>
            <w:shd w:val="clear" w:color="auto" w:fill="auto"/>
          </w:tcPr>
          <w:p w:rsidR="00997FA6" w:rsidRPr="00AD3CCD" w:rsidRDefault="00997FA6" w:rsidP="00AD3CCD">
            <w:pPr>
              <w:jc w:val="both"/>
              <w:rPr>
                <w:bCs/>
              </w:rPr>
            </w:pPr>
            <w:r w:rsidRPr="00AD3CCD">
              <w:rPr>
                <w:bCs/>
              </w:rPr>
              <w:t xml:space="preserve">Рішення міської ради щодо залучення кредитних коштів оприлюднені на сайті міської ради. Звіт про виконання міського бюджету, зокрема в частині обслуговування боргу та наданих місцевих гарантій оприлюднюється на сайті міської ради. Крім того, інформація надається під час </w:t>
            </w:r>
            <w:r w:rsidRPr="00AD3CCD">
              <w:rPr>
                <w:bCs/>
              </w:rPr>
              <w:lastRenderedPageBreak/>
              <w:t>проведення бюджетних слухань</w:t>
            </w:r>
            <w:r w:rsidR="006B6289" w:rsidRPr="00AD3CCD">
              <w:rPr>
                <w:bCs/>
              </w:rPr>
              <w:t>, на брифінгах під час звітування про виконання проектних заходів.</w:t>
            </w:r>
            <w:r w:rsidRPr="00AD3CCD">
              <w:rPr>
                <w:bCs/>
              </w:rPr>
              <w:t>.</w:t>
            </w:r>
          </w:p>
        </w:tc>
      </w:tr>
      <w:tr w:rsidR="00997FA6" w:rsidRPr="000F6A39" w:rsidTr="0059796A">
        <w:tc>
          <w:tcPr>
            <w:tcW w:w="828" w:type="dxa"/>
            <w:shd w:val="clear" w:color="auto" w:fill="auto"/>
          </w:tcPr>
          <w:p w:rsidR="00997FA6" w:rsidRPr="000F6A39" w:rsidRDefault="00997FA6" w:rsidP="00AD3CCD">
            <w:pPr>
              <w:jc w:val="center"/>
            </w:pPr>
            <w:r w:rsidRPr="000F6A39">
              <w:lastRenderedPageBreak/>
              <w:t>14</w:t>
            </w:r>
          </w:p>
        </w:tc>
        <w:tc>
          <w:tcPr>
            <w:tcW w:w="4860" w:type="dxa"/>
            <w:shd w:val="clear" w:color="auto" w:fill="auto"/>
          </w:tcPr>
          <w:p w:rsidR="00997FA6" w:rsidRPr="000F6A39" w:rsidRDefault="00997FA6" w:rsidP="00B10F91">
            <w:r w:rsidRPr="000F6A39">
              <w:t>Збільшити  обсяги фінансової підтримки громадських організацій</w:t>
            </w:r>
          </w:p>
        </w:tc>
        <w:tc>
          <w:tcPr>
            <w:tcW w:w="2700" w:type="dxa"/>
            <w:shd w:val="clear" w:color="auto" w:fill="auto"/>
          </w:tcPr>
          <w:p w:rsidR="00997FA6" w:rsidRPr="00AD3CCD" w:rsidRDefault="00997FA6" w:rsidP="00AD3CCD">
            <w:pPr>
              <w:jc w:val="both"/>
              <w:rPr>
                <w:bCs/>
              </w:rPr>
            </w:pPr>
            <w:r w:rsidRPr="00AD3CCD">
              <w:rPr>
                <w:bCs/>
              </w:rPr>
              <w:t>ФУ, відділ інформації та зв’язків з громадськістю</w:t>
            </w:r>
          </w:p>
        </w:tc>
        <w:tc>
          <w:tcPr>
            <w:tcW w:w="6480" w:type="dxa"/>
            <w:shd w:val="clear" w:color="auto" w:fill="auto"/>
          </w:tcPr>
          <w:p w:rsidR="00997FA6" w:rsidRPr="00AD3CCD" w:rsidRDefault="00997FA6" w:rsidP="00AD3CCD">
            <w:pPr>
              <w:jc w:val="both"/>
              <w:rPr>
                <w:bCs/>
              </w:rPr>
            </w:pPr>
            <w:r w:rsidRPr="00AD3CCD">
              <w:rPr>
                <w:bCs/>
              </w:rPr>
              <w:t>Щорічно в міському бюджеті плануються видатки для надання фінансової підтримки громадським організаціям соціальної спрямованості, молодіжним організаціям та кошти на реалізацію соціальних проектів</w:t>
            </w:r>
            <w:r w:rsidR="006B6289" w:rsidRPr="00AD3CCD">
              <w:rPr>
                <w:bCs/>
              </w:rPr>
              <w:t xml:space="preserve">. </w:t>
            </w:r>
            <w:r w:rsidR="00CE5E24" w:rsidRPr="00AD3CCD">
              <w:rPr>
                <w:bCs/>
              </w:rPr>
              <w:t>У 2017 році на підтримку соціальних проектів громадських організацій спрямовано 300 тис. грн., у 2018 році комісія пропонує цю суму збільшити до 450 тис. грн.</w:t>
            </w:r>
          </w:p>
        </w:tc>
      </w:tr>
      <w:tr w:rsidR="00997FA6" w:rsidRPr="000F6A39" w:rsidTr="0059796A">
        <w:tc>
          <w:tcPr>
            <w:tcW w:w="828" w:type="dxa"/>
            <w:shd w:val="clear" w:color="auto" w:fill="auto"/>
          </w:tcPr>
          <w:p w:rsidR="00997FA6" w:rsidRPr="000F6A39" w:rsidRDefault="00997FA6" w:rsidP="00AD3CCD">
            <w:pPr>
              <w:jc w:val="center"/>
            </w:pPr>
            <w:r w:rsidRPr="000F6A39">
              <w:t>15</w:t>
            </w:r>
          </w:p>
        </w:tc>
        <w:tc>
          <w:tcPr>
            <w:tcW w:w="4860" w:type="dxa"/>
            <w:shd w:val="clear" w:color="auto" w:fill="auto"/>
          </w:tcPr>
          <w:p w:rsidR="00997FA6" w:rsidRPr="000F6A39" w:rsidRDefault="00997FA6" w:rsidP="00B10F91">
            <w:r w:rsidRPr="000F6A39">
              <w:t>Виділити кошти для реалізації заходів з відзначення 100-річчя подій Української революції 1917-1921 років та вшанування пам’яті її учасників на період до 2021 року (встановлення меморіальних та інформаційних дощок, упорядкування поховань загиблих воїнів, перейменування вулиць, перейменування навчальних закладів, тощо)</w:t>
            </w:r>
          </w:p>
        </w:tc>
        <w:tc>
          <w:tcPr>
            <w:tcW w:w="2700" w:type="dxa"/>
            <w:shd w:val="clear" w:color="auto" w:fill="auto"/>
          </w:tcPr>
          <w:p w:rsidR="00997FA6" w:rsidRPr="00AD3CCD" w:rsidRDefault="00997FA6" w:rsidP="00E61D0B">
            <w:pPr>
              <w:rPr>
                <w:bCs/>
              </w:rPr>
            </w:pPr>
            <w:r w:rsidRPr="00AD3CCD">
              <w:rPr>
                <w:bCs/>
              </w:rPr>
              <w:t>ДЖКГ, ДМБК та ЗВ, управління освіти, відділ охорони культурної спадщини</w:t>
            </w:r>
          </w:p>
        </w:tc>
        <w:tc>
          <w:tcPr>
            <w:tcW w:w="6480" w:type="dxa"/>
            <w:shd w:val="clear" w:color="auto" w:fill="auto"/>
          </w:tcPr>
          <w:p w:rsidR="00997FA6" w:rsidRPr="00AD3CCD" w:rsidRDefault="00997FA6" w:rsidP="00AD3CCD">
            <w:pPr>
              <w:jc w:val="both"/>
              <w:rPr>
                <w:bCs/>
              </w:rPr>
            </w:pPr>
            <w:r w:rsidRPr="00AD3CCD">
              <w:rPr>
                <w:bCs/>
              </w:rPr>
              <w:t xml:space="preserve">Працівниками кладовищ в межах коштів на їх утримання проводиться упорядкування поховань загиблих воїнів. </w:t>
            </w:r>
            <w:r w:rsidR="00CE5E24" w:rsidRPr="00AD3CCD">
              <w:rPr>
                <w:bCs/>
              </w:rPr>
              <w:t>Виготовлення і встановлення меморіальних дощок у Чернівцях виконується винятково за рахунок коштів меценатів. Усі пропозиції щодо перейменування вулиць розглянула топонімічна комісія.</w:t>
            </w:r>
          </w:p>
          <w:p w:rsidR="00997FA6" w:rsidRPr="00AD3CCD" w:rsidRDefault="00997FA6" w:rsidP="00AD3CCD">
            <w:pPr>
              <w:jc w:val="both"/>
              <w:rPr>
                <w:bCs/>
              </w:rPr>
            </w:pPr>
          </w:p>
        </w:tc>
      </w:tr>
      <w:tr w:rsidR="00997FA6" w:rsidRPr="000F6A39" w:rsidTr="0059796A">
        <w:tc>
          <w:tcPr>
            <w:tcW w:w="828" w:type="dxa"/>
            <w:shd w:val="clear" w:color="auto" w:fill="auto"/>
          </w:tcPr>
          <w:p w:rsidR="00997FA6" w:rsidRPr="000F6A39" w:rsidRDefault="00997FA6" w:rsidP="00AD3CCD">
            <w:pPr>
              <w:jc w:val="center"/>
            </w:pPr>
            <w:r w:rsidRPr="000F6A39">
              <w:t>16</w:t>
            </w:r>
          </w:p>
        </w:tc>
        <w:tc>
          <w:tcPr>
            <w:tcW w:w="4860" w:type="dxa"/>
            <w:shd w:val="clear" w:color="auto" w:fill="auto"/>
          </w:tcPr>
          <w:p w:rsidR="00997FA6" w:rsidRPr="000F6A39" w:rsidRDefault="00997FA6" w:rsidP="00B10F91">
            <w:r w:rsidRPr="000F6A39">
              <w:t>Передбачити кошти на дольову участь міської ради в проектах транскордонної програми Україна – Румунія 2016-2020 роки</w:t>
            </w:r>
          </w:p>
        </w:tc>
        <w:tc>
          <w:tcPr>
            <w:tcW w:w="2700" w:type="dxa"/>
            <w:shd w:val="clear" w:color="auto" w:fill="auto"/>
          </w:tcPr>
          <w:p w:rsidR="00997FA6" w:rsidRPr="00AD3CCD" w:rsidRDefault="00997FA6" w:rsidP="00AD3CCD">
            <w:pPr>
              <w:jc w:val="both"/>
              <w:rPr>
                <w:bCs/>
              </w:rPr>
            </w:pPr>
            <w:r w:rsidRPr="00AD3CCD">
              <w:rPr>
                <w:bCs/>
              </w:rPr>
              <w:t>Відділ інвестицій та міжнародних зв’язків, ФУ</w:t>
            </w:r>
          </w:p>
        </w:tc>
        <w:tc>
          <w:tcPr>
            <w:tcW w:w="6480" w:type="dxa"/>
            <w:shd w:val="clear" w:color="auto" w:fill="auto"/>
          </w:tcPr>
          <w:p w:rsidR="00997FA6" w:rsidRPr="00AD3CCD" w:rsidRDefault="00997FA6" w:rsidP="00AD3CCD">
            <w:pPr>
              <w:jc w:val="both"/>
              <w:rPr>
                <w:bCs/>
              </w:rPr>
            </w:pPr>
            <w:r w:rsidRPr="00AD3CCD">
              <w:rPr>
                <w:bCs/>
              </w:rPr>
              <w:t xml:space="preserve">В 2017 році виконавчі органи міської ради продовжили розробку проектних пропозицій в рамках першого конкурсу заявок спільної операційної програми </w:t>
            </w:r>
            <w:r w:rsidRPr="000F6A39">
              <w:t>Румунія – Україна  201</w:t>
            </w:r>
            <w:r>
              <w:t>4</w:t>
            </w:r>
            <w:r w:rsidRPr="000F6A39">
              <w:t>-2020</w:t>
            </w:r>
            <w:r>
              <w:t>, що буде фінансуватись за кошти Фонду Європейського інструменту сусідства.</w:t>
            </w:r>
          </w:p>
        </w:tc>
      </w:tr>
      <w:tr w:rsidR="00997FA6" w:rsidRPr="000F6A39" w:rsidTr="0059796A">
        <w:tc>
          <w:tcPr>
            <w:tcW w:w="828" w:type="dxa"/>
            <w:shd w:val="clear" w:color="auto" w:fill="auto"/>
          </w:tcPr>
          <w:p w:rsidR="00997FA6" w:rsidRPr="000F6A39" w:rsidRDefault="00997FA6" w:rsidP="00AD3CCD">
            <w:pPr>
              <w:jc w:val="center"/>
            </w:pPr>
            <w:r w:rsidRPr="000F6A39">
              <w:t>17</w:t>
            </w:r>
          </w:p>
        </w:tc>
        <w:tc>
          <w:tcPr>
            <w:tcW w:w="4860" w:type="dxa"/>
            <w:shd w:val="clear" w:color="auto" w:fill="auto"/>
          </w:tcPr>
          <w:p w:rsidR="00997FA6" w:rsidRPr="000F6A39" w:rsidRDefault="00997FA6" w:rsidP="00B10F91">
            <w:r w:rsidRPr="000F6A39">
              <w:t>Облаштувати стоянки для туристичних (екскурсійних) автобусів на пл. Філармонії та Соборній пл., запропонувати на конкурсній основі  встановити на пл. Філармонії кіоск для реалізації сувенірів з чернівецькою символікою, туристично-довідкової інформації</w:t>
            </w:r>
          </w:p>
        </w:tc>
        <w:tc>
          <w:tcPr>
            <w:tcW w:w="2700" w:type="dxa"/>
            <w:shd w:val="clear" w:color="auto" w:fill="auto"/>
          </w:tcPr>
          <w:p w:rsidR="00997FA6" w:rsidRPr="00AD3CCD" w:rsidRDefault="00997FA6" w:rsidP="00AD3CCD">
            <w:pPr>
              <w:jc w:val="both"/>
              <w:rPr>
                <w:bCs/>
              </w:rPr>
            </w:pPr>
            <w:r w:rsidRPr="00AD3CCD">
              <w:rPr>
                <w:bCs/>
              </w:rPr>
              <w:t>ДЖКГ, департамент економіки, відділ туризму</w:t>
            </w:r>
          </w:p>
        </w:tc>
        <w:tc>
          <w:tcPr>
            <w:tcW w:w="6480" w:type="dxa"/>
            <w:shd w:val="clear" w:color="auto" w:fill="auto"/>
          </w:tcPr>
          <w:p w:rsidR="00997FA6" w:rsidRPr="00AD3CCD" w:rsidRDefault="00997FA6" w:rsidP="00AD3CCD">
            <w:pPr>
              <w:jc w:val="both"/>
              <w:rPr>
                <w:bCs/>
              </w:rPr>
            </w:pPr>
            <w:r w:rsidRPr="00AD3CCD">
              <w:rPr>
                <w:bCs/>
              </w:rPr>
              <w:t>На площах Соборній та Філармонії облаштовано стоянки для туристичних автобусів з встановленням відповідних дорожніх знаків та з нанесенням розмітки.</w:t>
            </w:r>
          </w:p>
        </w:tc>
      </w:tr>
      <w:tr w:rsidR="00997FA6" w:rsidRPr="000F6A39" w:rsidTr="0059796A">
        <w:tc>
          <w:tcPr>
            <w:tcW w:w="828" w:type="dxa"/>
            <w:shd w:val="clear" w:color="auto" w:fill="auto"/>
          </w:tcPr>
          <w:p w:rsidR="00997FA6" w:rsidRPr="000F6A39" w:rsidRDefault="00997FA6" w:rsidP="00AD3CCD">
            <w:pPr>
              <w:jc w:val="center"/>
            </w:pPr>
            <w:r w:rsidRPr="000F6A39">
              <w:t>18</w:t>
            </w:r>
          </w:p>
        </w:tc>
        <w:tc>
          <w:tcPr>
            <w:tcW w:w="4860" w:type="dxa"/>
            <w:shd w:val="clear" w:color="auto" w:fill="auto"/>
          </w:tcPr>
          <w:p w:rsidR="00997FA6" w:rsidRPr="000F6A39" w:rsidRDefault="00997FA6" w:rsidP="00B10F91">
            <w:r w:rsidRPr="000F6A39">
              <w:t xml:space="preserve">Передбачити кошти для впровадження програми підтримки розвитку малого і середнього бізнесу шляхом часткової компенсації відсотків за кредитами, спрямованими на створення нових робочих </w:t>
            </w:r>
            <w:r w:rsidRPr="000F6A39">
              <w:lastRenderedPageBreak/>
              <w:t>місць (співучасть у програмі «Країна успішного бізнесу - КУБ»)</w:t>
            </w:r>
          </w:p>
        </w:tc>
        <w:tc>
          <w:tcPr>
            <w:tcW w:w="2700" w:type="dxa"/>
            <w:shd w:val="clear" w:color="auto" w:fill="auto"/>
          </w:tcPr>
          <w:p w:rsidR="00997FA6" w:rsidRPr="00AD3CCD" w:rsidRDefault="00997FA6" w:rsidP="00AD3CCD">
            <w:pPr>
              <w:jc w:val="both"/>
              <w:rPr>
                <w:bCs/>
              </w:rPr>
            </w:pPr>
            <w:r w:rsidRPr="00AD3CCD">
              <w:rPr>
                <w:bCs/>
              </w:rPr>
              <w:lastRenderedPageBreak/>
              <w:t>Департамент економіки</w:t>
            </w:r>
          </w:p>
        </w:tc>
        <w:tc>
          <w:tcPr>
            <w:tcW w:w="6480" w:type="dxa"/>
            <w:shd w:val="clear" w:color="auto" w:fill="auto"/>
          </w:tcPr>
          <w:p w:rsidR="00997FA6" w:rsidRDefault="00997FA6" w:rsidP="00AD3CCD">
            <w:pPr>
              <w:jc w:val="both"/>
            </w:pPr>
            <w:r>
              <w:t xml:space="preserve">Відповідно до пункту 28 заходів з реалізації Програми розвитку малого і середнього підприємництва в місті Чернівцях на 2017-2018 роки, затвердженою рішенням міської ради від 10.01.2017 року № 523, передбачено запровадження надання фінансової підтримки суб’єктам </w:t>
            </w:r>
            <w:r>
              <w:lastRenderedPageBreak/>
              <w:t xml:space="preserve">малого і середнього бізнесу шляхом часткової компенсації відсотків за кредитами, спрямованими на створення нових робочих місць та обсяг фінансування в сумі 500,0 тис.грн. </w:t>
            </w:r>
          </w:p>
          <w:p w:rsidR="00997FA6" w:rsidRDefault="00997FA6" w:rsidP="00AD3CCD">
            <w:pPr>
              <w:jc w:val="both"/>
            </w:pPr>
            <w:r>
              <w:t>Департаментом економіки міської ради</w:t>
            </w:r>
            <w:r w:rsidRPr="00A0278E">
              <w:t xml:space="preserve"> розроблено проект регуляторного акта міської ради «Положення про умови та порядок надання фінансової підтримки шляхом часткової компенсації відсоткових ставок за кредитами, що надаються на реалізацію проектів суб’єктам малого та середнього підприємництва міста Чернівців». Проект Положення обговорено на засіданні міської Координаційної ради з питань розвитку підприємництва, оприлюднено на офіційному порталі Чернівецької міської ради і газеті Чернівці» та відповідальною постійною комісією міської ради з питань регуляторної діяльності надано експертний висновок щодо регуляторного впливу цього проекту.</w:t>
            </w:r>
          </w:p>
          <w:p w:rsidR="00997FA6" w:rsidRPr="00AD3CCD" w:rsidRDefault="00997FA6" w:rsidP="00AD3CCD">
            <w:pPr>
              <w:jc w:val="both"/>
              <w:rPr>
                <w:bCs/>
              </w:rPr>
            </w:pPr>
            <w:r>
              <w:t>Відповідно до вимог Закону України «Про засади державної регуляторної політики у сфері господарської діяльності», з</w:t>
            </w:r>
            <w:r w:rsidRPr="00A0278E">
              <w:t xml:space="preserve"> метою отримання висновку щодо відповідності регуляторного акта принципам державної регуляторної політики, проект регуляторного акта направлено на погодження в Державну регуляторну службу України.</w:t>
            </w:r>
            <w:r>
              <w:t xml:space="preserve"> </w:t>
            </w:r>
          </w:p>
        </w:tc>
      </w:tr>
      <w:tr w:rsidR="00997FA6" w:rsidRPr="000F6A39" w:rsidTr="0059796A">
        <w:tc>
          <w:tcPr>
            <w:tcW w:w="828" w:type="dxa"/>
            <w:shd w:val="clear" w:color="auto" w:fill="auto"/>
          </w:tcPr>
          <w:p w:rsidR="00997FA6" w:rsidRPr="000F6A39" w:rsidRDefault="00997FA6" w:rsidP="00AD3CCD">
            <w:pPr>
              <w:jc w:val="center"/>
            </w:pPr>
            <w:r w:rsidRPr="000F6A39">
              <w:lastRenderedPageBreak/>
              <w:t>19</w:t>
            </w:r>
          </w:p>
        </w:tc>
        <w:tc>
          <w:tcPr>
            <w:tcW w:w="4860" w:type="dxa"/>
            <w:shd w:val="clear" w:color="auto" w:fill="auto"/>
          </w:tcPr>
          <w:p w:rsidR="00997FA6" w:rsidRPr="005C4FB5" w:rsidRDefault="00997FA6" w:rsidP="00B10F91">
            <w:r w:rsidRPr="005C4FB5">
              <w:t>Розробити та затвердити програму реформування (реорганізації) мережі закладів охорони здоров’я міста з метою створення центрів профілактичної медицини та збільшення видатків на профілактичні заходи, спрямовані  на запобігання захворюванням, їхньому розвитку та на зміцнення здоров'я</w:t>
            </w:r>
          </w:p>
        </w:tc>
        <w:tc>
          <w:tcPr>
            <w:tcW w:w="2700" w:type="dxa"/>
            <w:shd w:val="clear" w:color="auto" w:fill="auto"/>
          </w:tcPr>
          <w:p w:rsidR="00997FA6" w:rsidRPr="00AD3CCD" w:rsidRDefault="00997FA6" w:rsidP="00AD3CCD">
            <w:pPr>
              <w:jc w:val="both"/>
              <w:rPr>
                <w:bCs/>
              </w:rPr>
            </w:pPr>
            <w:r w:rsidRPr="00AD3CCD">
              <w:rPr>
                <w:bCs/>
              </w:rPr>
              <w:t>Управління охорони здоров’я</w:t>
            </w:r>
          </w:p>
        </w:tc>
        <w:tc>
          <w:tcPr>
            <w:tcW w:w="6480" w:type="dxa"/>
            <w:shd w:val="clear" w:color="auto" w:fill="auto"/>
          </w:tcPr>
          <w:p w:rsidR="00997FA6" w:rsidRPr="005C4FB5" w:rsidRDefault="00997FA6" w:rsidP="00AD3CCD">
            <w:pPr>
              <w:jc w:val="both"/>
            </w:pPr>
            <w:r w:rsidRPr="005C4FB5">
              <w:t xml:space="preserve">Реформування галузі  «Охорона здоров’я» міста Чернівців відбувається у відповідності до прийнятих законодавчих актів на державному рівні. Рішенням міської ради від 20.04.2017 №684 затверджено Програму розвитку «Охорона здоров’я» м. Чернівців на 2017-2019 роки, згідно з якою здійснюються видатки на утримання галузі </w:t>
            </w:r>
            <w:r w:rsidR="00CE5E24">
              <w:t>впродовж</w:t>
            </w:r>
            <w:r w:rsidRPr="005C4FB5">
              <w:t xml:space="preserve"> 2017 року.</w:t>
            </w:r>
          </w:p>
          <w:p w:rsidR="00997FA6" w:rsidRPr="00AD3CCD" w:rsidRDefault="00997FA6" w:rsidP="00AD3CCD">
            <w:pPr>
              <w:jc w:val="both"/>
              <w:rPr>
                <w:sz w:val="28"/>
                <w:szCs w:val="28"/>
              </w:rPr>
            </w:pPr>
            <w:r w:rsidRPr="005C4FB5">
              <w:t>Профілактичні заходи, спрямовані на запобігання захворюванням здійснюються амбулаторно-поліклінічними закладами міської комунальної власності у відповідності до їх функцій.</w:t>
            </w:r>
          </w:p>
        </w:tc>
      </w:tr>
      <w:tr w:rsidR="00997FA6" w:rsidRPr="00AD3CCD" w:rsidTr="0059796A">
        <w:tc>
          <w:tcPr>
            <w:tcW w:w="828" w:type="dxa"/>
            <w:shd w:val="clear" w:color="auto" w:fill="auto"/>
          </w:tcPr>
          <w:p w:rsidR="00997FA6" w:rsidRPr="000F6A39" w:rsidRDefault="00997FA6" w:rsidP="00AD3CCD">
            <w:pPr>
              <w:jc w:val="center"/>
            </w:pPr>
            <w:r w:rsidRPr="000F6A39">
              <w:t>20</w:t>
            </w:r>
          </w:p>
        </w:tc>
        <w:tc>
          <w:tcPr>
            <w:tcW w:w="4860" w:type="dxa"/>
            <w:shd w:val="clear" w:color="auto" w:fill="auto"/>
          </w:tcPr>
          <w:p w:rsidR="00997FA6" w:rsidRPr="000F6A39" w:rsidRDefault="00997FA6" w:rsidP="008A1546">
            <w:r w:rsidRPr="000F6A39">
              <w:t>Вшанування з 90  та  95 - річними ювілеями  поважних чернівчан</w:t>
            </w:r>
          </w:p>
        </w:tc>
        <w:tc>
          <w:tcPr>
            <w:tcW w:w="2700" w:type="dxa"/>
            <w:shd w:val="clear" w:color="auto" w:fill="auto"/>
          </w:tcPr>
          <w:p w:rsidR="00997FA6" w:rsidRPr="00AD3CCD" w:rsidRDefault="00997FA6" w:rsidP="00AD3CCD">
            <w:pPr>
              <w:jc w:val="both"/>
              <w:rPr>
                <w:bCs/>
              </w:rPr>
            </w:pPr>
            <w:r w:rsidRPr="00AD3CCD">
              <w:rPr>
                <w:bCs/>
              </w:rPr>
              <w:t>Департамент праці та соціального захисту населення</w:t>
            </w:r>
          </w:p>
        </w:tc>
        <w:tc>
          <w:tcPr>
            <w:tcW w:w="6480" w:type="dxa"/>
            <w:shd w:val="clear" w:color="auto" w:fill="auto"/>
          </w:tcPr>
          <w:p w:rsidR="00997FA6" w:rsidRPr="00AD3CCD" w:rsidRDefault="00997FA6" w:rsidP="00AD3CCD">
            <w:pPr>
              <w:jc w:val="both"/>
              <w:rPr>
                <w:bCs/>
              </w:rPr>
            </w:pPr>
            <w:r w:rsidRPr="00AD3CCD">
              <w:rPr>
                <w:bCs/>
              </w:rPr>
              <w:t xml:space="preserve">Рішенням виконавчого комітету міської ради від 23.01.2017р. №17/1 внесено зміни до Положення про порядок надання матеріальної допомоги за рахунок коштів міського бюджету громадянам м. Чернівців, які опинилися в </w:t>
            </w:r>
            <w:r w:rsidRPr="00AD3CCD">
              <w:rPr>
                <w:bCs/>
              </w:rPr>
              <w:lastRenderedPageBreak/>
              <w:t xml:space="preserve">складних життєвих обставинах, затвердженого рішенням виконавчого комітету міської ради від 23.02.2016 р. № 110/4, якими передбачено надання матеріальної допомоги громадянам, яким виповнилося 90, 95 років по 500 гривень кожному. </w:t>
            </w:r>
          </w:p>
          <w:p w:rsidR="00997FA6" w:rsidRPr="00AD3CCD" w:rsidRDefault="00997FA6" w:rsidP="00AD3CCD">
            <w:pPr>
              <w:jc w:val="both"/>
              <w:rPr>
                <w:bCs/>
              </w:rPr>
            </w:pPr>
            <w:r w:rsidRPr="00AD3CCD">
              <w:rPr>
                <w:bCs/>
              </w:rPr>
              <w:t xml:space="preserve">З початку року (станом на 04.12.2017р.) матеріальна допомога надана 130 громадянам, яким в поточному році виповнилось 90, 95 років, на суму 65,0 тис.грн.  </w:t>
            </w:r>
          </w:p>
        </w:tc>
      </w:tr>
    </w:tbl>
    <w:p w:rsidR="0021563C" w:rsidRPr="000F6A39" w:rsidRDefault="0021563C"/>
    <w:sectPr w:rsidR="0021563C" w:rsidRPr="000F6A39" w:rsidSect="00AA7268">
      <w:headerReference w:type="even" r:id="rId7"/>
      <w:headerReference w:type="default" r:id="rId8"/>
      <w:pgSz w:w="16838" w:h="11906" w:orient="landscape"/>
      <w:pgMar w:top="1079"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25D1" w:rsidRDefault="006B25D1">
      <w:r>
        <w:separator/>
      </w:r>
    </w:p>
  </w:endnote>
  <w:endnote w:type="continuationSeparator" w:id="0">
    <w:p w:rsidR="006B25D1" w:rsidRDefault="006B2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25D1" w:rsidRDefault="006B25D1">
      <w:r>
        <w:separator/>
      </w:r>
    </w:p>
  </w:footnote>
  <w:footnote w:type="continuationSeparator" w:id="0">
    <w:p w:rsidR="006B25D1" w:rsidRDefault="006B25D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E24" w:rsidRDefault="00CE5E24" w:rsidP="00B1387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E5E24" w:rsidRDefault="00CE5E24">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E24" w:rsidRDefault="00CE5E24" w:rsidP="00B1387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866B0F">
      <w:rPr>
        <w:rStyle w:val="a5"/>
        <w:noProof/>
      </w:rPr>
      <w:t>2</w:t>
    </w:r>
    <w:r>
      <w:rPr>
        <w:rStyle w:val="a5"/>
      </w:rPr>
      <w:fldChar w:fldCharType="end"/>
    </w:r>
  </w:p>
  <w:p w:rsidR="00CE5E24" w:rsidRDefault="00CE5E24">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15BED"/>
    <w:multiLevelType w:val="hybridMultilevel"/>
    <w:tmpl w:val="79A644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46D002B"/>
    <w:multiLevelType w:val="hybridMultilevel"/>
    <w:tmpl w:val="74A8D682"/>
    <w:lvl w:ilvl="0" w:tplc="E31A0A46">
      <w:start w:val="1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FB53251"/>
    <w:multiLevelType w:val="hybridMultilevel"/>
    <w:tmpl w:val="96280434"/>
    <w:lvl w:ilvl="0" w:tplc="A68E2C06">
      <w:start w:val="1"/>
      <w:numFmt w:val="decimal"/>
      <w:lvlText w:val="%1."/>
      <w:lvlJc w:val="left"/>
      <w:pPr>
        <w:tabs>
          <w:tab w:val="num" w:pos="720"/>
        </w:tabs>
        <w:ind w:left="720" w:hanging="360"/>
      </w:pPr>
      <w:rPr>
        <w:b/>
      </w:rPr>
    </w:lvl>
    <w:lvl w:ilvl="1" w:tplc="5EAEC81C">
      <w:numFmt w:val="bullet"/>
      <w:lvlText w:val="-"/>
      <w:lvlJc w:val="left"/>
      <w:pPr>
        <w:tabs>
          <w:tab w:val="num" w:pos="2719"/>
        </w:tabs>
        <w:ind w:left="2719" w:hanging="930"/>
      </w:pPr>
      <w:rPr>
        <w:rFonts w:ascii="Times New Roman" w:eastAsia="Times New Roman" w:hAnsi="Times New Roman" w:cs="Times New Roman" w:hint="default"/>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3A5"/>
    <w:rsid w:val="000054BA"/>
    <w:rsid w:val="000067F6"/>
    <w:rsid w:val="00015B74"/>
    <w:rsid w:val="00020187"/>
    <w:rsid w:val="00020CF9"/>
    <w:rsid w:val="00023FF8"/>
    <w:rsid w:val="000417D5"/>
    <w:rsid w:val="00044FAE"/>
    <w:rsid w:val="00060FFD"/>
    <w:rsid w:val="00080E35"/>
    <w:rsid w:val="000B3322"/>
    <w:rsid w:val="000C120A"/>
    <w:rsid w:val="000F4CA0"/>
    <w:rsid w:val="000F6A39"/>
    <w:rsid w:val="000F715C"/>
    <w:rsid w:val="0011718D"/>
    <w:rsid w:val="00133236"/>
    <w:rsid w:val="00134689"/>
    <w:rsid w:val="0014339B"/>
    <w:rsid w:val="00155A4D"/>
    <w:rsid w:val="00161FF7"/>
    <w:rsid w:val="00170B67"/>
    <w:rsid w:val="00182804"/>
    <w:rsid w:val="00182C0D"/>
    <w:rsid w:val="00194293"/>
    <w:rsid w:val="001A41AF"/>
    <w:rsid w:val="001A45B4"/>
    <w:rsid w:val="001C2BEA"/>
    <w:rsid w:val="001D2B95"/>
    <w:rsid w:val="001E090E"/>
    <w:rsid w:val="001E43A5"/>
    <w:rsid w:val="001E5075"/>
    <w:rsid w:val="001F3991"/>
    <w:rsid w:val="0021563C"/>
    <w:rsid w:val="00230372"/>
    <w:rsid w:val="00245C3D"/>
    <w:rsid w:val="00265911"/>
    <w:rsid w:val="002715A3"/>
    <w:rsid w:val="00273119"/>
    <w:rsid w:val="0028431F"/>
    <w:rsid w:val="00296BBA"/>
    <w:rsid w:val="002973A2"/>
    <w:rsid w:val="002A022F"/>
    <w:rsid w:val="002A61E7"/>
    <w:rsid w:val="002D5307"/>
    <w:rsid w:val="002F2C08"/>
    <w:rsid w:val="002F77A7"/>
    <w:rsid w:val="0030237F"/>
    <w:rsid w:val="00310C0F"/>
    <w:rsid w:val="00311A36"/>
    <w:rsid w:val="00323CC2"/>
    <w:rsid w:val="00351F31"/>
    <w:rsid w:val="003546A0"/>
    <w:rsid w:val="00360E8F"/>
    <w:rsid w:val="003B0DB6"/>
    <w:rsid w:val="003B6D33"/>
    <w:rsid w:val="003C05C2"/>
    <w:rsid w:val="003D5426"/>
    <w:rsid w:val="00423386"/>
    <w:rsid w:val="004513CC"/>
    <w:rsid w:val="00454977"/>
    <w:rsid w:val="004617CC"/>
    <w:rsid w:val="00463453"/>
    <w:rsid w:val="00466772"/>
    <w:rsid w:val="00484EE0"/>
    <w:rsid w:val="004914B6"/>
    <w:rsid w:val="004C0D81"/>
    <w:rsid w:val="00534BAA"/>
    <w:rsid w:val="00541B6E"/>
    <w:rsid w:val="005465B8"/>
    <w:rsid w:val="005479DD"/>
    <w:rsid w:val="00560344"/>
    <w:rsid w:val="00571882"/>
    <w:rsid w:val="00580318"/>
    <w:rsid w:val="0058610E"/>
    <w:rsid w:val="0059796A"/>
    <w:rsid w:val="005B15B5"/>
    <w:rsid w:val="005C19BE"/>
    <w:rsid w:val="005C30F3"/>
    <w:rsid w:val="005C4FB5"/>
    <w:rsid w:val="005C5DDC"/>
    <w:rsid w:val="005D4A01"/>
    <w:rsid w:val="005E7151"/>
    <w:rsid w:val="0067767F"/>
    <w:rsid w:val="00683B3F"/>
    <w:rsid w:val="006A13E4"/>
    <w:rsid w:val="006B0849"/>
    <w:rsid w:val="006B25D1"/>
    <w:rsid w:val="006B6289"/>
    <w:rsid w:val="006B69BC"/>
    <w:rsid w:val="006D5998"/>
    <w:rsid w:val="007011E6"/>
    <w:rsid w:val="00702199"/>
    <w:rsid w:val="0070278F"/>
    <w:rsid w:val="007057EF"/>
    <w:rsid w:val="00707A84"/>
    <w:rsid w:val="007120AA"/>
    <w:rsid w:val="0072367F"/>
    <w:rsid w:val="00727D72"/>
    <w:rsid w:val="00734AA7"/>
    <w:rsid w:val="00757F4D"/>
    <w:rsid w:val="00767E14"/>
    <w:rsid w:val="00783BDD"/>
    <w:rsid w:val="00785AE6"/>
    <w:rsid w:val="00787646"/>
    <w:rsid w:val="007C0312"/>
    <w:rsid w:val="007E57C2"/>
    <w:rsid w:val="00802043"/>
    <w:rsid w:val="00811777"/>
    <w:rsid w:val="00812B91"/>
    <w:rsid w:val="00824FF3"/>
    <w:rsid w:val="00831081"/>
    <w:rsid w:val="008464B7"/>
    <w:rsid w:val="008541DA"/>
    <w:rsid w:val="00860A35"/>
    <w:rsid w:val="00865D13"/>
    <w:rsid w:val="00866B0F"/>
    <w:rsid w:val="008A1546"/>
    <w:rsid w:val="008B04D2"/>
    <w:rsid w:val="008B14B6"/>
    <w:rsid w:val="008B7F82"/>
    <w:rsid w:val="008E2C1B"/>
    <w:rsid w:val="008F0A7A"/>
    <w:rsid w:val="008F46E3"/>
    <w:rsid w:val="00904C68"/>
    <w:rsid w:val="009234D0"/>
    <w:rsid w:val="009244E0"/>
    <w:rsid w:val="00930D50"/>
    <w:rsid w:val="00942EF4"/>
    <w:rsid w:val="00944384"/>
    <w:rsid w:val="00944BDA"/>
    <w:rsid w:val="0095591D"/>
    <w:rsid w:val="00963564"/>
    <w:rsid w:val="00991FEE"/>
    <w:rsid w:val="00997FA6"/>
    <w:rsid w:val="009A22C1"/>
    <w:rsid w:val="009A24E3"/>
    <w:rsid w:val="009B17E9"/>
    <w:rsid w:val="009B7DEF"/>
    <w:rsid w:val="009C0F96"/>
    <w:rsid w:val="009C1873"/>
    <w:rsid w:val="009C5FD0"/>
    <w:rsid w:val="00A2096B"/>
    <w:rsid w:val="00A229E4"/>
    <w:rsid w:val="00A26AEA"/>
    <w:rsid w:val="00A32912"/>
    <w:rsid w:val="00A34CEB"/>
    <w:rsid w:val="00A51E0A"/>
    <w:rsid w:val="00A61636"/>
    <w:rsid w:val="00A65E2B"/>
    <w:rsid w:val="00AA7268"/>
    <w:rsid w:val="00AD3CCD"/>
    <w:rsid w:val="00AD6FB2"/>
    <w:rsid w:val="00AE7C13"/>
    <w:rsid w:val="00AF2AE7"/>
    <w:rsid w:val="00AF6F31"/>
    <w:rsid w:val="00B05C51"/>
    <w:rsid w:val="00B10F91"/>
    <w:rsid w:val="00B13874"/>
    <w:rsid w:val="00B1687D"/>
    <w:rsid w:val="00B83858"/>
    <w:rsid w:val="00BA034D"/>
    <w:rsid w:val="00BA3E32"/>
    <w:rsid w:val="00BC24B4"/>
    <w:rsid w:val="00BD5793"/>
    <w:rsid w:val="00BF09A7"/>
    <w:rsid w:val="00C10ECE"/>
    <w:rsid w:val="00C232E3"/>
    <w:rsid w:val="00C275E4"/>
    <w:rsid w:val="00C31683"/>
    <w:rsid w:val="00C40DED"/>
    <w:rsid w:val="00C44454"/>
    <w:rsid w:val="00C82E0B"/>
    <w:rsid w:val="00CA0947"/>
    <w:rsid w:val="00CC2937"/>
    <w:rsid w:val="00CE5E24"/>
    <w:rsid w:val="00D12B15"/>
    <w:rsid w:val="00D13E02"/>
    <w:rsid w:val="00D166DA"/>
    <w:rsid w:val="00D242CA"/>
    <w:rsid w:val="00D43F80"/>
    <w:rsid w:val="00D7610A"/>
    <w:rsid w:val="00D8220F"/>
    <w:rsid w:val="00DD4FCE"/>
    <w:rsid w:val="00E13AEA"/>
    <w:rsid w:val="00E23D6F"/>
    <w:rsid w:val="00E257E7"/>
    <w:rsid w:val="00E31645"/>
    <w:rsid w:val="00E61D0B"/>
    <w:rsid w:val="00E74033"/>
    <w:rsid w:val="00E973F7"/>
    <w:rsid w:val="00EB2F57"/>
    <w:rsid w:val="00F060F2"/>
    <w:rsid w:val="00F12538"/>
    <w:rsid w:val="00F23E6E"/>
    <w:rsid w:val="00F51FE6"/>
    <w:rsid w:val="00F5545C"/>
    <w:rsid w:val="00F57B07"/>
    <w:rsid w:val="00F77915"/>
    <w:rsid w:val="00F9459D"/>
    <w:rsid w:val="00F94BF3"/>
    <w:rsid w:val="00FC11EE"/>
    <w:rsid w:val="00FC64E8"/>
    <w:rsid w:val="00FE1336"/>
    <w:rsid w:val="00FE5B19"/>
    <w:rsid w:val="00FF235C"/>
    <w:rsid w:val="00FF57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309C5FD-CB92-4FA0-A3A6-30B5CF502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1E43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D242CA"/>
    <w:pPr>
      <w:tabs>
        <w:tab w:val="center" w:pos="4677"/>
        <w:tab w:val="right" w:pos="9355"/>
      </w:tabs>
    </w:pPr>
  </w:style>
  <w:style w:type="character" w:styleId="a5">
    <w:name w:val="page number"/>
    <w:basedOn w:val="a0"/>
    <w:rsid w:val="00D242CA"/>
  </w:style>
  <w:style w:type="paragraph" w:customStyle="1" w:styleId="ListParagraph">
    <w:name w:val="List Paragraph"/>
    <w:basedOn w:val="a"/>
    <w:rsid w:val="00B10F91"/>
    <w:pPr>
      <w:spacing w:after="200" w:line="276" w:lineRule="auto"/>
      <w:ind w:left="720"/>
      <w:contextualSpacing/>
    </w:pPr>
    <w:rPr>
      <w:rFonts w:ascii="Calibri" w:hAnsi="Calibri"/>
      <w:sz w:val="22"/>
      <w:szCs w:val="22"/>
      <w:lang w:val="ru-RU" w:eastAsia="en-US"/>
    </w:rPr>
  </w:style>
  <w:style w:type="paragraph" w:styleId="a6">
    <w:name w:val="Body Text"/>
    <w:basedOn w:val="a"/>
    <w:rsid w:val="00D8220F"/>
    <w:pPr>
      <w:jc w:val="both"/>
    </w:pPr>
    <w:rPr>
      <w:sz w:val="28"/>
    </w:rPr>
  </w:style>
  <w:style w:type="paragraph" w:styleId="a7">
    <w:name w:val="Normal (Web)"/>
    <w:basedOn w:val="a"/>
    <w:rsid w:val="00E23D6F"/>
    <w:pPr>
      <w:spacing w:before="100" w:beforeAutospacing="1" w:after="100" w:afterAutospacing="1"/>
    </w:pPr>
    <w:rPr>
      <w:lang w:val="ru-RU"/>
    </w:rPr>
  </w:style>
  <w:style w:type="paragraph" w:customStyle="1" w:styleId="a8">
    <w:name w:val=" Знак"/>
    <w:basedOn w:val="a"/>
    <w:rsid w:val="005C4FB5"/>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1833</Words>
  <Characters>10453</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Перелік пропозицій учасників громадських слухань з обговорення проекту міського бюджету на 2017 рік</vt:lpstr>
    </vt:vector>
  </TitlesOfParts>
  <Company>Организация</Company>
  <LinksUpToDate>false</LinksUpToDate>
  <CharactersWithSpaces>12262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Перелік пропозицій учасників громадських слухань з обговорення проекту міського бюджету на 2017 рік</dc:title>
  <dc:subject/>
  <dc:creator>Kozma</dc:creator>
  <cp:keywords/>
  <cp:lastModifiedBy>Kompvid2</cp:lastModifiedBy>
  <cp:revision>2</cp:revision>
  <cp:lastPrinted>2017-12-05T13:40:00Z</cp:lastPrinted>
  <dcterms:created xsi:type="dcterms:W3CDTF">2017-12-08T11:29:00Z</dcterms:created>
  <dcterms:modified xsi:type="dcterms:W3CDTF">2017-12-08T11:29:00Z</dcterms:modified>
</cp:coreProperties>
</file>