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856" w:rsidRPr="00AD1EF5" w:rsidRDefault="00CF0856" w:rsidP="00CF0856">
      <w:bookmarkStart w:id="0" w:name="_GoBack"/>
      <w:bookmarkEnd w:id="0"/>
      <w:r w:rsidRPr="00D55AEB">
        <w:rPr>
          <w:lang w:val="uk-UA"/>
        </w:rPr>
        <w:t xml:space="preserve">                                </w:t>
      </w:r>
    </w:p>
    <w:p w:rsidR="0089713A" w:rsidRDefault="00182D69" w:rsidP="00182D69">
      <w:pPr>
        <w:jc w:val="center"/>
        <w:rPr>
          <w:b/>
          <w:sz w:val="28"/>
          <w:szCs w:val="28"/>
          <w:lang w:val="uk-UA"/>
        </w:rPr>
      </w:pPr>
      <w:r w:rsidRPr="00182D69">
        <w:rPr>
          <w:b/>
          <w:sz w:val="28"/>
          <w:szCs w:val="28"/>
          <w:lang w:val="uk-UA"/>
        </w:rPr>
        <w:t>Д</w:t>
      </w:r>
      <w:r w:rsidR="00FA10BC">
        <w:rPr>
          <w:b/>
          <w:sz w:val="28"/>
          <w:szCs w:val="28"/>
          <w:lang w:val="uk-UA"/>
        </w:rPr>
        <w:t>еякі  питання порядку  виплати  житлових  субсидій та пільг  з  оплати  за  житлово-комунальні</w:t>
      </w:r>
      <w:r w:rsidRPr="00182D69">
        <w:rPr>
          <w:b/>
          <w:sz w:val="28"/>
          <w:szCs w:val="28"/>
          <w:lang w:val="uk-UA"/>
        </w:rPr>
        <w:t xml:space="preserve">  послуг</w:t>
      </w:r>
      <w:r w:rsidR="00FA10BC">
        <w:rPr>
          <w:b/>
          <w:sz w:val="28"/>
          <w:szCs w:val="28"/>
          <w:lang w:val="uk-UA"/>
        </w:rPr>
        <w:t>и</w:t>
      </w:r>
      <w:r>
        <w:rPr>
          <w:b/>
          <w:sz w:val="28"/>
          <w:szCs w:val="28"/>
          <w:lang w:val="uk-UA"/>
        </w:rPr>
        <w:t>.</w:t>
      </w:r>
    </w:p>
    <w:p w:rsidR="00182D69" w:rsidRDefault="00182D69" w:rsidP="00182D69">
      <w:pPr>
        <w:jc w:val="both"/>
        <w:rPr>
          <w:sz w:val="28"/>
          <w:szCs w:val="28"/>
          <w:lang w:val="uk-UA"/>
        </w:rPr>
      </w:pPr>
    </w:p>
    <w:p w:rsidR="001452EE" w:rsidRDefault="001A55C7" w:rsidP="00182D69">
      <w:pPr>
        <w:jc w:val="both"/>
        <w:rPr>
          <w:sz w:val="28"/>
          <w:szCs w:val="28"/>
          <w:lang w:val="uk-UA"/>
        </w:rPr>
      </w:pPr>
      <w:r>
        <w:rPr>
          <w:sz w:val="28"/>
          <w:szCs w:val="28"/>
          <w:lang w:val="uk-UA"/>
        </w:rPr>
        <w:t xml:space="preserve">       </w:t>
      </w:r>
      <w:r w:rsidR="00182D69">
        <w:rPr>
          <w:sz w:val="28"/>
          <w:szCs w:val="28"/>
          <w:lang w:val="uk-UA"/>
        </w:rPr>
        <w:t xml:space="preserve">Відповідно  до п.5 Положення  про порядок  призначення  житлових  субсидій,  затвердженого  постановою  Кабінету  Міністрів України від 21 жовтня  1995р. №848  (в редакції  постанови Кабінету Міністрів України від 14.08.2019р. №807) (далі – Положення)  житлові  субсидії  громадянам  структурними  підрозділами  органів  соціального захисту  населення  призначаються  за  наявності  різниці  між  розміром  плати  за  житлово-комунальні послуги  та/або  скраплений газ,  тверде та  рідке  пічне  побутове  паливо,  за  абонентське  обслуговування  для  споживачів  комунальних  послуг,  що  надаються  у  багатоквартирних  </w:t>
      </w:r>
      <w:r>
        <w:rPr>
          <w:sz w:val="28"/>
          <w:szCs w:val="28"/>
          <w:lang w:val="uk-UA"/>
        </w:rPr>
        <w:t>будинках  за  індивідуальними договорами,  внесків за  встановлення,  обслуговування  та  заміну   вузлів комерційного  обліку,  внеску/платежу  об</w:t>
      </w:r>
      <w:r w:rsidRPr="001452EE">
        <w:rPr>
          <w:sz w:val="28"/>
          <w:szCs w:val="28"/>
          <w:lang w:val="uk-UA"/>
        </w:rPr>
        <w:t>’</w:t>
      </w:r>
      <w:r>
        <w:rPr>
          <w:sz w:val="28"/>
          <w:szCs w:val="28"/>
          <w:lang w:val="uk-UA"/>
        </w:rPr>
        <w:t>єднанню  на  оплату   витрат  на    управління  багатоквартирним  будинком  у  межах  соціальної  норми  житла,  соціальних  нормативів житлово-комунальних  послуг, скрапленого  газу,  твердого  та  рідкого  пічного</w:t>
      </w:r>
      <w:r w:rsidR="001452EE" w:rsidRPr="001452EE">
        <w:rPr>
          <w:sz w:val="28"/>
          <w:szCs w:val="28"/>
        </w:rPr>
        <w:t xml:space="preserve"> </w:t>
      </w:r>
      <w:r w:rsidR="001452EE">
        <w:rPr>
          <w:sz w:val="28"/>
          <w:szCs w:val="28"/>
          <w:lang w:val="uk-UA"/>
        </w:rPr>
        <w:t>побутового  палива, витрат  на  управління  багатоквартирним  будинком  і  розміром  обов’язкового  відсотка  платежу,  установленого  відповідно  до  постанови  Кабінету  Міністрів України  від  27 липня  1998р.  №1156  «Про  новий  розмір  витрат  на  оплату  житлово-комунальних послуг,  придбання  скрапленого  газу,  твердого  та  рідкого  пічного  побутового  палива  у  разі надання  житлової  субсидії.</w:t>
      </w:r>
    </w:p>
    <w:p w:rsidR="001A55C7" w:rsidRDefault="001452EE" w:rsidP="00182D69">
      <w:pPr>
        <w:jc w:val="both"/>
        <w:rPr>
          <w:sz w:val="28"/>
          <w:szCs w:val="28"/>
          <w:lang w:val="uk-UA"/>
        </w:rPr>
      </w:pPr>
      <w:r>
        <w:rPr>
          <w:sz w:val="28"/>
          <w:szCs w:val="28"/>
          <w:lang w:val="uk-UA"/>
        </w:rPr>
        <w:t xml:space="preserve">       Разом  з  тим,  перерахування  коштів  призначеної  житлової  субсидії  у  грошовій   безготівковій  формі АТ «Ощадбанк»  відповідно  до п.13 Положення  здійснюється  у  такій  послідовності: постачання  теплової   енергії, постачання  та  розподіл  природного  газу  або  постачання  та  розподіл  електричної  енергії  за  наявності відповідного  виду  індивідуального  опалення, постачання  гарячої  води,  централізоване  водопостачання,  централізоване  водовідведення,  постачання  та  розподіл  природного  газу,  поводження  з  побутовими  відходами,  послуги  з  управління  багатоквартирним  будинком,  внески  за  встановлення,  обслуговування  та  заміну  вузлів  комерційного  обліку,  за  абонентське  обслуговування  для  споживачів  комунальних  послуг,  що  надаються  у  багато</w:t>
      </w:r>
      <w:r w:rsidR="001A55C7">
        <w:rPr>
          <w:sz w:val="28"/>
          <w:szCs w:val="28"/>
          <w:lang w:val="uk-UA"/>
        </w:rPr>
        <w:t>квартирних   будинках  за  індивідуальними  договорами.</w:t>
      </w:r>
    </w:p>
    <w:p w:rsidR="00353AE6" w:rsidRDefault="001A55C7" w:rsidP="00182D69">
      <w:pPr>
        <w:jc w:val="both"/>
        <w:rPr>
          <w:sz w:val="28"/>
          <w:szCs w:val="28"/>
          <w:lang w:val="uk-UA"/>
        </w:rPr>
      </w:pPr>
      <w:r>
        <w:rPr>
          <w:sz w:val="28"/>
          <w:szCs w:val="28"/>
          <w:lang w:val="uk-UA"/>
        </w:rPr>
        <w:t xml:space="preserve">       Виходячи  з  вищевикладеного,  загальна  сума  призначеної субсидії  може  </w:t>
      </w:r>
      <w:r w:rsidR="00AA3B25">
        <w:rPr>
          <w:sz w:val="28"/>
          <w:szCs w:val="28"/>
          <w:lang w:val="uk-UA"/>
        </w:rPr>
        <w:t>бути  перерахована  АТ «Ощадбанк»  тільки,  наприклад  на  покриття  послуг  з  оплати за  теплопостачання,  причому  не на призначену  органом соціального  захисту  населення  суму  субсидії  на дану  послугу, а в межах загальної  суми  до сплати,  зазначеної  виконавцем послуги.  А  т</w:t>
      </w:r>
      <w:r w:rsidR="00353AE6">
        <w:rPr>
          <w:sz w:val="28"/>
          <w:szCs w:val="28"/>
          <w:lang w:val="uk-UA"/>
        </w:rPr>
        <w:t xml:space="preserve">ому,  за  інші  послуги,  якими  користується  субсидіант, </w:t>
      </w:r>
      <w:r w:rsidR="009859A6">
        <w:rPr>
          <w:sz w:val="28"/>
          <w:szCs w:val="28"/>
          <w:lang w:val="uk-UA"/>
        </w:rPr>
        <w:t>йому</w:t>
      </w:r>
      <w:r w:rsidR="00353AE6">
        <w:rPr>
          <w:sz w:val="28"/>
          <w:szCs w:val="28"/>
          <w:lang w:val="uk-UA"/>
        </w:rPr>
        <w:t xml:space="preserve"> необхідно  проводити  оплату  на загальних  підставах,  з  метою  уникнення  утворення  заборгованості.</w:t>
      </w:r>
    </w:p>
    <w:p w:rsidR="001452EE" w:rsidRDefault="001452EE" w:rsidP="001452EE">
      <w:pPr>
        <w:jc w:val="both"/>
        <w:rPr>
          <w:sz w:val="28"/>
          <w:szCs w:val="28"/>
          <w:lang w:val="uk-UA"/>
        </w:rPr>
      </w:pPr>
      <w:r>
        <w:rPr>
          <w:sz w:val="28"/>
          <w:szCs w:val="28"/>
          <w:lang w:val="uk-UA"/>
        </w:rPr>
        <w:t xml:space="preserve">       </w:t>
      </w:r>
      <w:r w:rsidR="00353AE6">
        <w:rPr>
          <w:sz w:val="28"/>
          <w:szCs w:val="28"/>
          <w:lang w:val="uk-UA"/>
        </w:rPr>
        <w:t xml:space="preserve">Аналогічно  порядку  виплати  виплати  житлових  субсидій  у  грошовій  безготівковій  формі  з 1 жовтня  2019р.  проводиться  виплата  пільг  з оплати  за  житлово-комунальні послуги  відповідно до  Порядку  надання  пільг  на  оплату  житлово-комунальних  послуг  у   грошовій  формі,  затвердженого  постановою  Кабінету  Міністрів  України  від  17.04.2019р №373  (далі  </w:t>
      </w:r>
      <w:r w:rsidR="00353AE6">
        <w:rPr>
          <w:sz w:val="28"/>
          <w:szCs w:val="28"/>
          <w:lang w:val="uk-UA"/>
        </w:rPr>
        <w:lastRenderedPageBreak/>
        <w:t xml:space="preserve">Порядок).  </w:t>
      </w:r>
      <w:r w:rsidR="009859A6">
        <w:rPr>
          <w:sz w:val="28"/>
          <w:szCs w:val="28"/>
          <w:lang w:val="uk-UA"/>
        </w:rPr>
        <w:t>Пільги</w:t>
      </w:r>
      <w:r w:rsidR="00353AE6">
        <w:rPr>
          <w:sz w:val="28"/>
          <w:szCs w:val="28"/>
          <w:lang w:val="uk-UA"/>
        </w:rPr>
        <w:t xml:space="preserve">  з  оплати  за  житлово-комунальні  послуги  нараховуються  органами  соціального  захисту  населення  за  соціальними  нормативами, </w:t>
      </w:r>
      <w:r w:rsidR="009859A6">
        <w:rPr>
          <w:sz w:val="28"/>
          <w:szCs w:val="28"/>
          <w:lang w:val="uk-UA"/>
        </w:rPr>
        <w:t>затверджених</w:t>
      </w:r>
      <w:r>
        <w:rPr>
          <w:sz w:val="28"/>
          <w:szCs w:val="28"/>
          <w:lang w:val="uk-UA"/>
        </w:rPr>
        <w:t xml:space="preserve"> Урядом  по  кожному  виду  послуг,  а  виплата  їх  у  грошовій  безготівковій  формі  АТ «Ощадбанк»  здійснюється  в послідовності  визначеній  пунктом  12 Порядку.</w:t>
      </w:r>
    </w:p>
    <w:p w:rsidR="001452EE" w:rsidRDefault="001452EE" w:rsidP="001452EE">
      <w:pPr>
        <w:jc w:val="both"/>
        <w:rPr>
          <w:sz w:val="28"/>
          <w:szCs w:val="28"/>
          <w:lang w:val="uk-UA"/>
        </w:rPr>
      </w:pPr>
      <w:r>
        <w:rPr>
          <w:sz w:val="28"/>
          <w:szCs w:val="28"/>
          <w:lang w:val="uk-UA"/>
        </w:rPr>
        <w:t xml:space="preserve">       Одночасно  інформуємо,  що  відповідно  до  постанови Кабінету  Міністрів України  від  27.12.2019р.  №1123  </w:t>
      </w:r>
      <w:r w:rsidR="009859A6">
        <w:rPr>
          <w:sz w:val="28"/>
          <w:szCs w:val="28"/>
          <w:lang w:val="uk-UA"/>
        </w:rPr>
        <w:t xml:space="preserve">з 1.01.2020р. </w:t>
      </w:r>
      <w:r>
        <w:rPr>
          <w:sz w:val="28"/>
          <w:szCs w:val="28"/>
          <w:lang w:val="uk-UA"/>
        </w:rPr>
        <w:t xml:space="preserve">пільговики  мають  право  у  будь-який  час  подати  заяву  до  органу  соціального  захисту  населення  про  перехід  на грошову  готівкову  форму  отримання   пільги  на  </w:t>
      </w:r>
      <w:r w:rsidR="009859A6">
        <w:rPr>
          <w:sz w:val="28"/>
          <w:szCs w:val="28"/>
          <w:lang w:val="uk-UA"/>
        </w:rPr>
        <w:t xml:space="preserve">оплату  </w:t>
      </w:r>
      <w:r>
        <w:rPr>
          <w:sz w:val="28"/>
          <w:szCs w:val="28"/>
          <w:lang w:val="uk-UA"/>
        </w:rPr>
        <w:t>житлово-комунальн</w:t>
      </w:r>
      <w:r w:rsidR="009859A6">
        <w:rPr>
          <w:sz w:val="28"/>
          <w:szCs w:val="28"/>
          <w:lang w:val="uk-UA"/>
        </w:rPr>
        <w:t>их</w:t>
      </w:r>
      <w:r>
        <w:rPr>
          <w:sz w:val="28"/>
          <w:szCs w:val="28"/>
          <w:lang w:val="uk-UA"/>
        </w:rPr>
        <w:t xml:space="preserve">  послуг</w:t>
      </w:r>
      <w:r w:rsidR="009859A6">
        <w:rPr>
          <w:sz w:val="28"/>
          <w:szCs w:val="28"/>
          <w:lang w:val="uk-UA"/>
        </w:rPr>
        <w:t>.</w:t>
      </w:r>
      <w:r>
        <w:rPr>
          <w:sz w:val="28"/>
          <w:szCs w:val="28"/>
          <w:lang w:val="uk-UA"/>
        </w:rPr>
        <w:t xml:space="preserve">                   </w:t>
      </w:r>
    </w:p>
    <w:p w:rsidR="001452EE" w:rsidRPr="001452EE" w:rsidRDefault="001452EE" w:rsidP="00182D69">
      <w:pPr>
        <w:jc w:val="both"/>
        <w:rPr>
          <w:sz w:val="28"/>
          <w:szCs w:val="28"/>
          <w:lang w:val="uk-UA"/>
        </w:rPr>
      </w:pPr>
    </w:p>
    <w:p w:rsidR="001452EE" w:rsidRPr="001452EE" w:rsidRDefault="001452EE" w:rsidP="00182D69">
      <w:pPr>
        <w:jc w:val="both"/>
        <w:rPr>
          <w:sz w:val="28"/>
          <w:szCs w:val="28"/>
        </w:rPr>
      </w:pPr>
    </w:p>
    <w:p w:rsidR="005F373D" w:rsidRPr="009859A6" w:rsidRDefault="009859A6" w:rsidP="00182D69">
      <w:pPr>
        <w:jc w:val="both"/>
        <w:rPr>
          <w:b/>
          <w:sz w:val="28"/>
          <w:szCs w:val="28"/>
          <w:lang w:val="uk-UA"/>
        </w:rPr>
      </w:pPr>
      <w:r w:rsidRPr="009859A6">
        <w:rPr>
          <w:b/>
          <w:sz w:val="28"/>
          <w:szCs w:val="28"/>
          <w:lang w:val="uk-UA"/>
        </w:rPr>
        <w:t>Заступник директора департаменту</w:t>
      </w:r>
    </w:p>
    <w:p w:rsidR="009859A6" w:rsidRPr="009859A6" w:rsidRDefault="009859A6" w:rsidP="00182D69">
      <w:pPr>
        <w:jc w:val="both"/>
        <w:rPr>
          <w:b/>
          <w:sz w:val="28"/>
          <w:szCs w:val="28"/>
          <w:lang w:val="uk-UA"/>
        </w:rPr>
      </w:pPr>
      <w:r w:rsidRPr="009859A6">
        <w:rPr>
          <w:b/>
          <w:sz w:val="28"/>
          <w:szCs w:val="28"/>
          <w:lang w:val="uk-UA"/>
        </w:rPr>
        <w:t>праці та соціального захисту населення</w:t>
      </w:r>
    </w:p>
    <w:p w:rsidR="009859A6" w:rsidRPr="009859A6" w:rsidRDefault="009859A6" w:rsidP="00182D69">
      <w:pPr>
        <w:jc w:val="both"/>
        <w:rPr>
          <w:b/>
          <w:sz w:val="28"/>
          <w:szCs w:val="28"/>
          <w:lang w:val="uk-UA"/>
        </w:rPr>
      </w:pPr>
      <w:r w:rsidRPr="009859A6">
        <w:rPr>
          <w:b/>
          <w:sz w:val="28"/>
          <w:szCs w:val="28"/>
          <w:lang w:val="uk-UA"/>
        </w:rPr>
        <w:t xml:space="preserve">Чернівецької міської ради                                       </w:t>
      </w:r>
      <w:r>
        <w:rPr>
          <w:b/>
          <w:sz w:val="28"/>
          <w:szCs w:val="28"/>
          <w:lang w:val="uk-UA"/>
        </w:rPr>
        <w:t xml:space="preserve">                         </w:t>
      </w:r>
      <w:r w:rsidRPr="009859A6">
        <w:rPr>
          <w:b/>
          <w:sz w:val="28"/>
          <w:szCs w:val="28"/>
          <w:lang w:val="uk-UA"/>
        </w:rPr>
        <w:t>В. Гаєвська</w:t>
      </w:r>
    </w:p>
    <w:p w:rsidR="005F373D" w:rsidRPr="009859A6" w:rsidRDefault="005F373D" w:rsidP="00182D69">
      <w:pPr>
        <w:jc w:val="both"/>
        <w:rPr>
          <w:b/>
          <w:sz w:val="28"/>
          <w:szCs w:val="28"/>
          <w:lang w:val="uk-UA"/>
        </w:rPr>
      </w:pPr>
    </w:p>
    <w:p w:rsidR="005F373D" w:rsidRPr="009859A6" w:rsidRDefault="005F373D" w:rsidP="00182D69">
      <w:pPr>
        <w:jc w:val="both"/>
        <w:rPr>
          <w:b/>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5F373D" w:rsidP="00182D69">
      <w:pPr>
        <w:jc w:val="both"/>
        <w:rPr>
          <w:sz w:val="28"/>
          <w:szCs w:val="28"/>
          <w:lang w:val="uk-UA"/>
        </w:rPr>
      </w:pPr>
    </w:p>
    <w:p w:rsidR="005F373D" w:rsidRDefault="00690DCA" w:rsidP="005F373D">
      <w:pPr>
        <w:jc w:val="center"/>
        <w:rPr>
          <w:lang w:val="uk-UA"/>
        </w:rPr>
      </w:pPr>
      <w:r>
        <w:rPr>
          <w:noProof/>
          <w:lang w:val="en-US" w:eastAsia="en-US"/>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-457200</wp:posOffset>
            </wp:positionV>
            <wp:extent cx="428625" cy="619125"/>
            <wp:effectExtent l="0" t="0" r="0" b="0"/>
            <wp:wrapSquare wrapText="bothSides"/>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8625" cy="619125"/>
                    </a:xfrm>
                    <a:prstGeom prst="rect">
                      <a:avLst/>
                    </a:prstGeom>
                    <a:noFill/>
                  </pic:spPr>
                </pic:pic>
              </a:graphicData>
            </a:graphic>
            <wp14:sizeRelH relativeFrom="page">
              <wp14:pctWidth>0</wp14:pctWidth>
            </wp14:sizeRelH>
            <wp14:sizeRelV relativeFrom="page">
              <wp14:pctHeight>0</wp14:pctHeight>
            </wp14:sizeRelV>
          </wp:anchor>
        </w:drawing>
      </w:r>
    </w:p>
    <w:p w:rsidR="005F373D" w:rsidRDefault="005F373D" w:rsidP="005F373D">
      <w:pPr>
        <w:jc w:val="center"/>
        <w:rPr>
          <w:b/>
          <w:sz w:val="36"/>
          <w:szCs w:val="36"/>
          <w:lang w:val="uk-UA"/>
        </w:rPr>
      </w:pPr>
      <w:r>
        <w:rPr>
          <w:lang w:val="uk-UA"/>
        </w:rPr>
        <w:t xml:space="preserve"> </w:t>
      </w:r>
      <w:r>
        <w:rPr>
          <w:b/>
          <w:sz w:val="36"/>
          <w:szCs w:val="36"/>
          <w:lang w:val="uk-UA"/>
        </w:rPr>
        <w:t>У К Р А Ї Н А</w:t>
      </w:r>
    </w:p>
    <w:p w:rsidR="005F373D" w:rsidRDefault="005F373D" w:rsidP="005F373D">
      <w:pPr>
        <w:jc w:val="center"/>
        <w:rPr>
          <w:b/>
          <w:sz w:val="36"/>
          <w:szCs w:val="36"/>
          <w:lang w:val="uk-UA"/>
        </w:rPr>
      </w:pPr>
      <w:r>
        <w:rPr>
          <w:b/>
          <w:sz w:val="36"/>
          <w:szCs w:val="36"/>
          <w:lang w:val="uk-UA"/>
        </w:rPr>
        <w:t>Чернівецька міська рада</w:t>
      </w:r>
    </w:p>
    <w:p w:rsidR="005F373D" w:rsidRDefault="005F373D" w:rsidP="005F373D">
      <w:pPr>
        <w:jc w:val="center"/>
        <w:rPr>
          <w:b/>
          <w:sz w:val="36"/>
          <w:szCs w:val="36"/>
          <w:lang w:val="uk-UA"/>
        </w:rPr>
      </w:pPr>
      <w:r>
        <w:rPr>
          <w:b/>
          <w:sz w:val="36"/>
          <w:szCs w:val="36"/>
          <w:lang w:val="uk-UA"/>
        </w:rPr>
        <w:t>Виконавчий комітет</w:t>
      </w:r>
    </w:p>
    <w:p w:rsidR="005F373D" w:rsidRDefault="005F373D" w:rsidP="005F373D">
      <w:pPr>
        <w:jc w:val="center"/>
        <w:rPr>
          <w:b/>
          <w:sz w:val="10"/>
          <w:szCs w:val="10"/>
          <w:lang w:val="uk-UA"/>
        </w:rPr>
      </w:pPr>
    </w:p>
    <w:tbl>
      <w:tblPr>
        <w:tblW w:w="0" w:type="auto"/>
        <w:tblInd w:w="108" w:type="dxa"/>
        <w:tblBorders>
          <w:top w:val="double" w:sz="4" w:space="0" w:color="auto"/>
        </w:tblBorders>
        <w:tblLook w:val="0000" w:firstRow="0" w:lastRow="0" w:firstColumn="0" w:lastColumn="0" w:noHBand="0" w:noVBand="0"/>
      </w:tblPr>
      <w:tblGrid>
        <w:gridCol w:w="9360"/>
      </w:tblGrid>
      <w:tr w:rsidR="005F373D" w:rsidRPr="00A31EAF" w:rsidTr="000F2519">
        <w:trPr>
          <w:trHeight w:val="100"/>
        </w:trPr>
        <w:tc>
          <w:tcPr>
            <w:tcW w:w="9360" w:type="dxa"/>
            <w:tcBorders>
              <w:top w:val="double" w:sz="4" w:space="0" w:color="auto"/>
              <w:left w:val="nil"/>
              <w:bottom w:val="nil"/>
              <w:right w:val="nil"/>
            </w:tcBorders>
          </w:tcPr>
          <w:p w:rsidR="005F373D" w:rsidRDefault="00690DCA" w:rsidP="000F2519">
            <w:pPr>
              <w:spacing w:line="264" w:lineRule="auto"/>
              <w:jc w:val="center"/>
              <w:rPr>
                <w:lang w:val="uk-UA"/>
              </w:rPr>
            </w:pPr>
            <w:r>
              <w:rPr>
                <w:noProof/>
                <w:lang w:val="en-US" w:eastAsia="en-US"/>
              </w:rPr>
              <mc:AlternateContent>
                <mc:Choice Requires="wps">
                  <w:drawing>
                    <wp:anchor distT="0" distB="0" distL="114300" distR="114300" simplePos="0" relativeHeight="251657216" behindDoc="0" locked="0" layoutInCell="1" allowOverlap="1">
                      <wp:simplePos x="0" y="0"/>
                      <wp:positionH relativeFrom="column">
                        <wp:posOffset>-68580</wp:posOffset>
                      </wp:positionH>
                      <wp:positionV relativeFrom="paragraph">
                        <wp:posOffset>-5715</wp:posOffset>
                      </wp:positionV>
                      <wp:extent cx="6120130" cy="0"/>
                      <wp:effectExtent l="13335" t="16510" r="19685" b="2159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25400" cmpd="dbl">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801C4"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5pt" to="476.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" strokeweight="2pt">
                      <v:stroke startarrowwidth="narrow" startarrowlength="short" endarrowwidth="narrow" endarrowlength="short" linestyle="thinThin"/>
                    </v:line>
                  </w:pict>
                </mc:Fallback>
              </mc:AlternateContent>
            </w:r>
            <w:r w:rsidR="005F373D">
              <w:rPr>
                <w:lang w:val="uk-UA"/>
              </w:rPr>
              <w:t xml:space="preserve">Центральна площа, 1,  м. Чернівці, 58000, тел. (0372) 52-59-24, тел./факс 55-35-39, </w:t>
            </w:r>
          </w:p>
          <w:p w:rsidR="005F373D" w:rsidRDefault="005F373D" w:rsidP="000F2519">
            <w:pPr>
              <w:jc w:val="center"/>
              <w:rPr>
                <w:sz w:val="18"/>
                <w:szCs w:val="18"/>
                <w:lang w:val="uk-UA"/>
              </w:rPr>
            </w:pPr>
            <w:r>
              <w:rPr>
                <w:lang w:val="uk-UA"/>
              </w:rPr>
              <w:t xml:space="preserve">Е-mail: </w:t>
            </w:r>
            <w:hyperlink r:id="rId5" w:history="1">
              <w:r>
                <w:rPr>
                  <w:rStyle w:val="a3"/>
                  <w:lang w:val="en-US"/>
                </w:rPr>
                <w:t>document</w:t>
              </w:r>
              <w:r>
                <w:rPr>
                  <w:rStyle w:val="a3"/>
                  <w:lang w:val="uk-UA"/>
                </w:rPr>
                <w:t>@</w:t>
              </w:r>
              <w:r>
                <w:rPr>
                  <w:rStyle w:val="a3"/>
                  <w:lang w:val="en-US"/>
                </w:rPr>
                <w:t>rada</w:t>
              </w:r>
              <w:r>
                <w:rPr>
                  <w:rStyle w:val="a3"/>
                  <w:lang w:val="uk-UA"/>
                </w:rPr>
                <w:t>.</w:t>
              </w:r>
              <w:r>
                <w:rPr>
                  <w:rStyle w:val="a3"/>
                  <w:lang w:val="en-US"/>
                </w:rPr>
                <w:t>cv</w:t>
              </w:r>
              <w:r>
                <w:rPr>
                  <w:rStyle w:val="a3"/>
                  <w:lang w:val="uk-UA"/>
                </w:rPr>
                <w:t>.</w:t>
              </w:r>
              <w:r>
                <w:rPr>
                  <w:rStyle w:val="a3"/>
                  <w:lang w:val="en-US"/>
                </w:rPr>
                <w:t>ua</w:t>
              </w:r>
            </w:hyperlink>
            <w:r>
              <w:rPr>
                <w:lang w:val="uk-UA"/>
              </w:rPr>
              <w:t>, Код ЄДРПОУ № 04062216</w:t>
            </w:r>
            <w:r>
              <w:rPr>
                <w:sz w:val="22"/>
                <w:lang w:val="uk-UA"/>
              </w:rPr>
              <w:t xml:space="preserve">  </w:t>
            </w:r>
          </w:p>
        </w:tc>
      </w:tr>
    </w:tbl>
    <w:p w:rsidR="005F373D" w:rsidRDefault="005F373D" w:rsidP="005F373D">
      <w:pPr>
        <w:rPr>
          <w:sz w:val="28"/>
          <w:szCs w:val="28"/>
        </w:rPr>
      </w:pPr>
      <w:r w:rsidRPr="00A31EAF">
        <w:rPr>
          <w:sz w:val="28"/>
          <w:szCs w:val="28"/>
          <w:lang w:val="uk-UA"/>
        </w:rPr>
        <w:t xml:space="preserve"> </w:t>
      </w:r>
      <w:r>
        <w:rPr>
          <w:sz w:val="28"/>
          <w:szCs w:val="28"/>
        </w:rPr>
        <w:t>___________________ № 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5F373D" w:rsidRDefault="005F373D" w:rsidP="005F373D">
      <w:pPr>
        <w:rPr>
          <w:b/>
          <w:sz w:val="28"/>
          <w:szCs w:val="28"/>
        </w:rPr>
      </w:pPr>
      <w:r>
        <w:rPr>
          <w:sz w:val="28"/>
          <w:szCs w:val="28"/>
        </w:rPr>
        <w:t>на № ________________ від________</w:t>
      </w:r>
    </w:p>
    <w:tbl>
      <w:tblPr>
        <w:tblW w:w="0" w:type="auto"/>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7"/>
      </w:tblGrid>
      <w:tr w:rsidR="005F373D" w:rsidTr="000F2519">
        <w:trPr>
          <w:trHeight w:val="655"/>
        </w:trPr>
        <w:tc>
          <w:tcPr>
            <w:tcW w:w="4217" w:type="dxa"/>
            <w:tcBorders>
              <w:top w:val="nil"/>
              <w:left w:val="nil"/>
              <w:bottom w:val="nil"/>
              <w:right w:val="nil"/>
            </w:tcBorders>
          </w:tcPr>
          <w:p w:rsidR="000F2519" w:rsidRDefault="005F373D" w:rsidP="000F2519">
            <w:pPr>
              <w:rPr>
                <w:b/>
                <w:sz w:val="28"/>
                <w:szCs w:val="28"/>
                <w:lang w:val="uk-UA"/>
              </w:rPr>
            </w:pPr>
            <w:r>
              <w:rPr>
                <w:b/>
                <w:sz w:val="28"/>
                <w:szCs w:val="28"/>
                <w:lang w:val="uk-UA"/>
              </w:rPr>
              <w:t>Управителям,  об</w:t>
            </w:r>
            <w:r w:rsidR="000F2519" w:rsidRPr="000F2519">
              <w:rPr>
                <w:b/>
                <w:sz w:val="28"/>
                <w:szCs w:val="28"/>
              </w:rPr>
              <w:t>’</w:t>
            </w:r>
            <w:r>
              <w:rPr>
                <w:b/>
                <w:sz w:val="28"/>
                <w:szCs w:val="28"/>
                <w:lang w:val="uk-UA"/>
              </w:rPr>
              <w:t xml:space="preserve">єднанням, </w:t>
            </w:r>
          </w:p>
          <w:p w:rsidR="005F373D" w:rsidRDefault="000F2519" w:rsidP="000F2519">
            <w:pPr>
              <w:rPr>
                <w:b/>
                <w:sz w:val="28"/>
                <w:szCs w:val="28"/>
                <w:lang w:val="uk-UA"/>
              </w:rPr>
            </w:pPr>
            <w:r>
              <w:rPr>
                <w:b/>
                <w:sz w:val="28"/>
                <w:szCs w:val="28"/>
                <w:lang w:val="uk-UA"/>
              </w:rPr>
              <w:t xml:space="preserve">виконавцям  комунальних  послуг </w:t>
            </w:r>
          </w:p>
          <w:p w:rsidR="005F373D" w:rsidRDefault="005F373D" w:rsidP="000F2519">
            <w:pPr>
              <w:rPr>
                <w:b/>
                <w:sz w:val="28"/>
                <w:szCs w:val="28"/>
              </w:rPr>
            </w:pPr>
          </w:p>
        </w:tc>
      </w:tr>
    </w:tbl>
    <w:p w:rsidR="00E93A3F" w:rsidRDefault="00E93A3F" w:rsidP="005F373D">
      <w:pPr>
        <w:jc w:val="both"/>
        <w:rPr>
          <w:lang w:val="uk-UA"/>
        </w:rPr>
      </w:pPr>
    </w:p>
    <w:p w:rsidR="00E93A3F" w:rsidRDefault="00E93A3F" w:rsidP="005F373D">
      <w:pPr>
        <w:jc w:val="both"/>
        <w:rPr>
          <w:lang w:val="uk-UA"/>
        </w:rPr>
      </w:pPr>
    </w:p>
    <w:p w:rsidR="000F2519" w:rsidRPr="00E93A3F" w:rsidRDefault="005F373D" w:rsidP="005F373D">
      <w:pPr>
        <w:jc w:val="both"/>
        <w:rPr>
          <w:sz w:val="28"/>
          <w:szCs w:val="28"/>
          <w:lang w:val="uk-UA"/>
        </w:rPr>
      </w:pPr>
      <w:r w:rsidRPr="00E93A3F">
        <w:rPr>
          <w:sz w:val="28"/>
          <w:szCs w:val="28"/>
        </w:rPr>
        <w:t xml:space="preserve">            </w:t>
      </w:r>
      <w:r w:rsidR="000F2519" w:rsidRPr="00E93A3F">
        <w:rPr>
          <w:sz w:val="28"/>
          <w:szCs w:val="28"/>
          <w:lang w:val="uk-UA"/>
        </w:rPr>
        <w:t>Направляємо,  для  використання  в  роботі  роз’яснення  з  питань  житлових  субсидій  та  пільг  з  оплати  за  житлово-комунальні  послуги  у  грошовій безготівковій    формі.</w:t>
      </w:r>
    </w:p>
    <w:p w:rsidR="000F2519" w:rsidRPr="00E93A3F" w:rsidRDefault="000F2519" w:rsidP="005F373D">
      <w:pPr>
        <w:jc w:val="both"/>
        <w:rPr>
          <w:sz w:val="28"/>
          <w:szCs w:val="28"/>
          <w:lang w:val="uk-UA"/>
        </w:rPr>
      </w:pPr>
    </w:p>
    <w:p w:rsidR="000F2519" w:rsidRPr="00E93A3F" w:rsidRDefault="000F2519" w:rsidP="005F373D">
      <w:pPr>
        <w:jc w:val="both"/>
        <w:rPr>
          <w:sz w:val="28"/>
          <w:szCs w:val="28"/>
          <w:lang w:val="uk-UA"/>
        </w:rPr>
      </w:pPr>
      <w:r w:rsidRPr="00E93A3F">
        <w:rPr>
          <w:sz w:val="28"/>
          <w:szCs w:val="28"/>
          <w:lang w:val="uk-UA"/>
        </w:rPr>
        <w:t xml:space="preserve">Додаток:  на </w:t>
      </w:r>
      <w:r w:rsidR="001C761A" w:rsidRPr="00E93A3F">
        <w:rPr>
          <w:sz w:val="28"/>
          <w:szCs w:val="28"/>
          <w:lang w:val="uk-UA"/>
        </w:rPr>
        <w:t>2</w:t>
      </w:r>
      <w:r w:rsidRPr="00E93A3F">
        <w:rPr>
          <w:sz w:val="28"/>
          <w:szCs w:val="28"/>
          <w:lang w:val="uk-UA"/>
        </w:rPr>
        <w:t xml:space="preserve">   аркушах.</w:t>
      </w:r>
    </w:p>
    <w:p w:rsidR="005F373D" w:rsidRPr="00E93A3F" w:rsidRDefault="005F373D" w:rsidP="005F373D">
      <w:pPr>
        <w:jc w:val="both"/>
        <w:rPr>
          <w:sz w:val="28"/>
          <w:szCs w:val="28"/>
          <w:lang w:val="uk-UA"/>
        </w:rPr>
      </w:pPr>
    </w:p>
    <w:p w:rsidR="005F373D" w:rsidRDefault="005F373D" w:rsidP="005F373D">
      <w:pPr>
        <w:jc w:val="both"/>
        <w:rPr>
          <w:lang w:val="uk-UA"/>
        </w:rPr>
      </w:pPr>
    </w:p>
    <w:p w:rsidR="005F373D" w:rsidRPr="00A97AB5" w:rsidRDefault="005F373D" w:rsidP="005F373D">
      <w:pPr>
        <w:rPr>
          <w:b/>
          <w:sz w:val="28"/>
          <w:szCs w:val="28"/>
          <w:lang w:val="uk-UA"/>
        </w:rPr>
      </w:pPr>
      <w:r w:rsidRPr="00A97AB5">
        <w:rPr>
          <w:b/>
          <w:sz w:val="28"/>
          <w:szCs w:val="28"/>
          <w:lang w:val="uk-UA"/>
        </w:rPr>
        <w:t xml:space="preserve">Заступник  міського голови  </w:t>
      </w:r>
    </w:p>
    <w:p w:rsidR="005F373D" w:rsidRPr="00A97AB5" w:rsidRDefault="005F373D" w:rsidP="005F373D">
      <w:pPr>
        <w:rPr>
          <w:b/>
          <w:sz w:val="28"/>
          <w:szCs w:val="28"/>
          <w:lang w:val="uk-UA"/>
        </w:rPr>
      </w:pPr>
      <w:r w:rsidRPr="00A97AB5">
        <w:rPr>
          <w:b/>
          <w:sz w:val="28"/>
          <w:szCs w:val="28"/>
          <w:lang w:val="uk-UA"/>
        </w:rPr>
        <w:t xml:space="preserve">з питань діяльності виконавчих </w:t>
      </w:r>
    </w:p>
    <w:p w:rsidR="005F373D" w:rsidRDefault="005F373D" w:rsidP="005F373D">
      <w:pPr>
        <w:rPr>
          <w:b/>
          <w:sz w:val="28"/>
          <w:szCs w:val="28"/>
          <w:lang w:val="uk-UA"/>
        </w:rPr>
      </w:pPr>
      <w:r w:rsidRPr="00A97AB5">
        <w:rPr>
          <w:b/>
          <w:sz w:val="28"/>
          <w:szCs w:val="28"/>
          <w:lang w:val="uk-UA"/>
        </w:rPr>
        <w:t xml:space="preserve">органів міської   ради                                                                       </w:t>
      </w:r>
      <w:r>
        <w:rPr>
          <w:b/>
          <w:sz w:val="28"/>
          <w:szCs w:val="28"/>
          <w:lang w:val="uk-UA"/>
        </w:rPr>
        <w:t>В</w:t>
      </w:r>
      <w:r w:rsidRPr="00A97AB5">
        <w:rPr>
          <w:b/>
          <w:sz w:val="28"/>
          <w:szCs w:val="28"/>
          <w:lang w:val="uk-UA"/>
        </w:rPr>
        <w:t xml:space="preserve">. </w:t>
      </w:r>
      <w:r>
        <w:rPr>
          <w:b/>
          <w:sz w:val="28"/>
          <w:szCs w:val="28"/>
          <w:lang w:val="uk-UA"/>
        </w:rPr>
        <w:t>Середюк</w:t>
      </w:r>
    </w:p>
    <w:p w:rsidR="005F373D" w:rsidRPr="00A97AB5" w:rsidRDefault="005F373D" w:rsidP="005F373D">
      <w:pPr>
        <w:rPr>
          <w:b/>
          <w:sz w:val="28"/>
          <w:szCs w:val="28"/>
          <w:lang w:val="uk-UA"/>
        </w:rPr>
      </w:pPr>
    </w:p>
    <w:p w:rsidR="005F373D" w:rsidRPr="00AD1EF5" w:rsidRDefault="005F373D" w:rsidP="005F373D">
      <w:r w:rsidRPr="00D55AEB">
        <w:rPr>
          <w:lang w:val="uk-UA"/>
        </w:rPr>
        <w:t xml:space="preserve">Гаєвська,534352                                                             </w:t>
      </w:r>
    </w:p>
    <w:sectPr w:rsidR="005F373D" w:rsidRPr="00AD1EF5" w:rsidSect="002329DB">
      <w:pgSz w:w="11906" w:h="16838"/>
      <w:pgMar w:top="1134" w:right="850" w:bottom="53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C99"/>
    <w:rsid w:val="00007952"/>
    <w:rsid w:val="00045859"/>
    <w:rsid w:val="00073D05"/>
    <w:rsid w:val="00083AE2"/>
    <w:rsid w:val="000C3FC8"/>
    <w:rsid w:val="000C4166"/>
    <w:rsid w:val="000E00F7"/>
    <w:rsid w:val="000F2519"/>
    <w:rsid w:val="001160F1"/>
    <w:rsid w:val="00136AB1"/>
    <w:rsid w:val="001452EE"/>
    <w:rsid w:val="00182D69"/>
    <w:rsid w:val="00184079"/>
    <w:rsid w:val="001A55C7"/>
    <w:rsid w:val="001B1263"/>
    <w:rsid w:val="001C5692"/>
    <w:rsid w:val="001C5CFC"/>
    <w:rsid w:val="001C761A"/>
    <w:rsid w:val="00210465"/>
    <w:rsid w:val="002329DB"/>
    <w:rsid w:val="002361F1"/>
    <w:rsid w:val="00250324"/>
    <w:rsid w:val="0026327B"/>
    <w:rsid w:val="002A0BA5"/>
    <w:rsid w:val="002A62A3"/>
    <w:rsid w:val="002C1519"/>
    <w:rsid w:val="0032002E"/>
    <w:rsid w:val="00344005"/>
    <w:rsid w:val="00353AE6"/>
    <w:rsid w:val="0037190B"/>
    <w:rsid w:val="003A22FD"/>
    <w:rsid w:val="003A269C"/>
    <w:rsid w:val="003A56A0"/>
    <w:rsid w:val="003B416E"/>
    <w:rsid w:val="003F4A47"/>
    <w:rsid w:val="003F7438"/>
    <w:rsid w:val="004061A8"/>
    <w:rsid w:val="0045415D"/>
    <w:rsid w:val="00476649"/>
    <w:rsid w:val="004A2B08"/>
    <w:rsid w:val="004E64F3"/>
    <w:rsid w:val="005269D5"/>
    <w:rsid w:val="005310C8"/>
    <w:rsid w:val="00552E4E"/>
    <w:rsid w:val="0058383B"/>
    <w:rsid w:val="00593C8B"/>
    <w:rsid w:val="005F373D"/>
    <w:rsid w:val="005F74AA"/>
    <w:rsid w:val="006267FF"/>
    <w:rsid w:val="006269AF"/>
    <w:rsid w:val="00653CA6"/>
    <w:rsid w:val="00660CA9"/>
    <w:rsid w:val="00662095"/>
    <w:rsid w:val="00673D22"/>
    <w:rsid w:val="00684B94"/>
    <w:rsid w:val="00690B8E"/>
    <w:rsid w:val="00690DCA"/>
    <w:rsid w:val="006B1E6A"/>
    <w:rsid w:val="006C3AA5"/>
    <w:rsid w:val="006E26A5"/>
    <w:rsid w:val="006F4201"/>
    <w:rsid w:val="007172FC"/>
    <w:rsid w:val="00731E6E"/>
    <w:rsid w:val="00737800"/>
    <w:rsid w:val="00761F6F"/>
    <w:rsid w:val="007B55AC"/>
    <w:rsid w:val="008369C8"/>
    <w:rsid w:val="00856F17"/>
    <w:rsid w:val="008757E4"/>
    <w:rsid w:val="0089713A"/>
    <w:rsid w:val="008B3B54"/>
    <w:rsid w:val="008D3884"/>
    <w:rsid w:val="008E6AA8"/>
    <w:rsid w:val="009150DD"/>
    <w:rsid w:val="0091674C"/>
    <w:rsid w:val="00931416"/>
    <w:rsid w:val="00960098"/>
    <w:rsid w:val="009859A6"/>
    <w:rsid w:val="009912F3"/>
    <w:rsid w:val="00991A02"/>
    <w:rsid w:val="009A4EEC"/>
    <w:rsid w:val="009A5D82"/>
    <w:rsid w:val="009E5767"/>
    <w:rsid w:val="009E7627"/>
    <w:rsid w:val="009F1511"/>
    <w:rsid w:val="00A23C99"/>
    <w:rsid w:val="00A31EAF"/>
    <w:rsid w:val="00A54AE2"/>
    <w:rsid w:val="00AA3B25"/>
    <w:rsid w:val="00AD1823"/>
    <w:rsid w:val="00B03FC3"/>
    <w:rsid w:val="00B118E0"/>
    <w:rsid w:val="00B47E39"/>
    <w:rsid w:val="00B97143"/>
    <w:rsid w:val="00BD3D2D"/>
    <w:rsid w:val="00C15D42"/>
    <w:rsid w:val="00C314DE"/>
    <w:rsid w:val="00C35995"/>
    <w:rsid w:val="00C81FFE"/>
    <w:rsid w:val="00C82C8C"/>
    <w:rsid w:val="00CA136B"/>
    <w:rsid w:val="00CB6334"/>
    <w:rsid w:val="00CD56E4"/>
    <w:rsid w:val="00CE33DF"/>
    <w:rsid w:val="00CF0856"/>
    <w:rsid w:val="00D03033"/>
    <w:rsid w:val="00D35C5A"/>
    <w:rsid w:val="00D81D94"/>
    <w:rsid w:val="00DC278D"/>
    <w:rsid w:val="00DE6C5E"/>
    <w:rsid w:val="00E038B8"/>
    <w:rsid w:val="00E609FA"/>
    <w:rsid w:val="00E80A49"/>
    <w:rsid w:val="00E93A3F"/>
    <w:rsid w:val="00EA523A"/>
    <w:rsid w:val="00EA5920"/>
    <w:rsid w:val="00EA62CA"/>
    <w:rsid w:val="00ED3514"/>
    <w:rsid w:val="00EE2F8A"/>
    <w:rsid w:val="00F056C7"/>
    <w:rsid w:val="00F32448"/>
    <w:rsid w:val="00F54DAF"/>
    <w:rsid w:val="00FA10BC"/>
    <w:rsid w:val="00FA3DCC"/>
    <w:rsid w:val="00FA7CE7"/>
    <w:rsid w:val="00FB6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79DFBD-C8FE-41F6-BC00-919BE351E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A31EAF"/>
    <w:rPr>
      <w:color w:val="0000FF"/>
      <w:u w:val="single"/>
    </w:rPr>
  </w:style>
  <w:style w:type="paragraph" w:styleId="2">
    <w:name w:val="Body Text 2"/>
    <w:basedOn w:val="a"/>
    <w:rsid w:val="00A31EAF"/>
    <w:pPr>
      <w:spacing w:after="120" w:line="480" w:lineRule="auto"/>
    </w:pPr>
    <w:rPr>
      <w:noProof/>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ocument@rada.cv.ua."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Відповідно  п</vt:lpstr>
    </vt:vector>
  </TitlesOfParts>
  <Company/>
  <LinksUpToDate>false</LinksUpToDate>
  <CharactersWithSpaces>5055</CharactersWithSpaces>
  <SharedDoc>false</SharedDoc>
  <HLinks>
    <vt:vector size="6" baseType="variant">
      <vt:variant>
        <vt:i4>655482</vt:i4>
      </vt:variant>
      <vt:variant>
        <vt:i4>0</vt:i4>
      </vt:variant>
      <vt:variant>
        <vt:i4>0</vt:i4>
      </vt:variant>
      <vt:variant>
        <vt:i4>5</vt:i4>
      </vt:variant>
      <vt:variant>
        <vt:lpwstr>mailto:document@rada.cv.ua.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Відповідно  п</dc:title>
  <dc:subject/>
  <dc:creator>User</dc:creator>
  <cp:keywords/>
  <dc:description/>
  <cp:lastModifiedBy>kompvid2</cp:lastModifiedBy>
  <cp:revision>2</cp:revision>
  <cp:lastPrinted>2020-01-29T16:23:00Z</cp:lastPrinted>
  <dcterms:created xsi:type="dcterms:W3CDTF">2020-01-30T14:49:00Z</dcterms:created>
  <dcterms:modified xsi:type="dcterms:W3CDTF">2020-01-30T14:49:00Z</dcterms:modified>
</cp:coreProperties>
</file>